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95" w:rsidRDefault="001D7895" w:rsidP="001D7895">
      <w:pPr>
        <w:pStyle w:val="SNUM"/>
      </w:pPr>
      <w:r>
        <w:fldChar w:fldCharType="begin"/>
      </w:r>
      <w:r>
        <w:instrText xml:space="preserve"> XE "officialnum:N1B8E0:[SNUM" </w:instrText>
      </w:r>
      <w:r>
        <w:fldChar w:fldCharType="end"/>
      </w:r>
      <w:r>
        <w:t>2007/2481</w:t>
      </w:r>
    </w:p>
    <w:p w:rsidR="001D7895" w:rsidRDefault="001D7895" w:rsidP="001D7895">
      <w:pPr>
        <w:pStyle w:val="TTL"/>
      </w:pPr>
      <w:r>
        <w:fldChar w:fldCharType="begin"/>
      </w:r>
      <w:r>
        <w:instrText xml:space="preserve"> XE "title:N1B8E7:[TTL" </w:instrText>
      </w:r>
      <w:r>
        <w:fldChar w:fldCharType="end"/>
      </w:r>
      <w:r>
        <w:t>Tax Credits (Child Care Providers) (Miscellaneous Revocation and Transitional Provisions) (England) Scheme 2007</w:t>
      </w:r>
    </w:p>
    <w:p w:rsidR="001D7895" w:rsidRDefault="001D7895" w:rsidP="001D7895">
      <w:pPr>
        <w:pStyle w:val="n-ShortHead"/>
      </w:pPr>
      <w:r>
        <w:fldChar w:fldCharType="begin"/>
      </w:r>
      <w:r>
        <w:instrText xml:space="preserve"> XE "title-alt:N1B8EA:n-ShortHead" </w:instrText>
      </w:r>
      <w:r>
        <w:fldChar w:fldCharType="end"/>
      </w:r>
      <w:r>
        <w:t>TC (Child Care Providers) (Misc etc) (England) Scheme</w:t>
      </w:r>
    </w:p>
    <w:p w:rsidR="001D7895" w:rsidRDefault="001D7895" w:rsidP="001D7895">
      <w:pPr>
        <w:pStyle w:val="ENAR"/>
      </w:pPr>
      <w:r>
        <w:fldChar w:fldCharType="begin"/>
      </w:r>
      <w:r>
        <w:instrText xml:space="preserve"> XE "enactment-recital:N1B8EC:[ENAR" </w:instrText>
      </w:r>
      <w:r>
        <w:fldChar w:fldCharType="end"/>
      </w: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1D7895" w:rsidRDefault="001D7895" w:rsidP="001D7895">
      <w:pPr>
        <w:pStyle w:val="MADE"/>
      </w:pPr>
      <w:r>
        <w:fldChar w:fldCharType="begin"/>
      </w:r>
      <w:r>
        <w:instrText xml:space="preserve"> XE "made:N1B8F0:[MADE" </w:instrText>
      </w:r>
      <w:r>
        <w:fldChar w:fldCharType="end"/>
      </w:r>
      <w:r>
        <w:t xml:space="preserve">Made </w:t>
      </w:r>
      <w:r>
        <w:tab/>
        <w:t>28 August 2007</w:t>
      </w:r>
    </w:p>
    <w:p w:rsidR="001D7895" w:rsidRDefault="001D7895" w:rsidP="001D7895">
      <w:pPr>
        <w:pStyle w:val="LAID"/>
      </w:pPr>
      <w:r>
        <w:fldChar w:fldCharType="begin"/>
      </w:r>
      <w:r>
        <w:instrText xml:space="preserve"> XE "laid:N1B8F9:[LAID" </w:instrText>
      </w:r>
      <w:r>
        <w:fldChar w:fldCharType="end"/>
      </w:r>
      <w:r>
        <w:t xml:space="preserve">Laid before Parliament </w:t>
      </w:r>
      <w:r>
        <w:tab/>
        <w:t>3 September 2007</w:t>
      </w:r>
    </w:p>
    <w:p w:rsidR="001D7895" w:rsidRDefault="001D7895" w:rsidP="001D7895">
      <w:pPr>
        <w:pStyle w:val="OPER"/>
      </w:pPr>
      <w:r>
        <w:fldChar w:fldCharType="begin"/>
      </w:r>
      <w:r>
        <w:instrText xml:space="preserve"> XE "operation:N1B902:[OPER" </w:instrText>
      </w:r>
      <w:r>
        <w:fldChar w:fldCharType="end"/>
      </w:r>
      <w:r>
        <w:t xml:space="preserve">Coming into force in accordance with </w:t>
      </w:r>
      <w:r>
        <w:tab/>
        <w:t>article 1(2)</w:t>
      </w:r>
    </w:p>
    <w:p w:rsidR="001D7895" w:rsidRDefault="001D7895" w:rsidP="001D7895">
      <w:pPr>
        <w:pStyle w:val="MAIN"/>
      </w:pPr>
      <w:r>
        <w:fldChar w:fldCharType="begin"/>
      </w:r>
      <w:r>
        <w:instrText xml:space="preserve"> XE "main:N1B908:MAIN" </w:instrText>
      </w:r>
      <w:r>
        <w:fldChar w:fldCharType="end"/>
      </w:r>
      <w:r>
        <w:t>[MAIN</w:t>
      </w:r>
    </w:p>
    <w:p w:rsidR="001D7895" w:rsidRDefault="001D7895" w:rsidP="001D7895">
      <w:pPr>
        <w:pStyle w:val="PHDR"/>
      </w:pPr>
      <w:r>
        <w:fldChar w:fldCharType="begin"/>
      </w:r>
      <w:r>
        <w:instrText xml:space="preserve"> XE "provision:N1B90B:[PHDR" </w:instrText>
      </w:r>
      <w:r>
        <w:fldChar w:fldCharType="end"/>
      </w:r>
      <w:r>
        <w:t>1</w:t>
      </w:r>
      <w:r>
        <w:tab/>
        <w:t>Citation, commencement and application</w:t>
      </w:r>
    </w:p>
    <w:p w:rsidR="001D7895" w:rsidRDefault="001D7895" w:rsidP="001D7895">
      <w:pPr>
        <w:pStyle w:val="P1"/>
      </w:pPr>
      <w:r>
        <w:fldChar w:fldCharType="begin"/>
      </w:r>
      <w:r>
        <w:instrText xml:space="preserve"> XE "para1:N1B914:[P1" </w:instrText>
      </w:r>
      <w:r>
        <w:fldChar w:fldCharType="end"/>
      </w:r>
      <w:r>
        <w:t>(1)</w:t>
      </w:r>
      <w:r>
        <w:tab/>
        <w:t>This Scheme may be cited as the Tax Credits (Child Care Providers) (Miscellaneous Revocation and Transitional Provisions) (England) Scheme 2007.</w:t>
      </w:r>
    </w:p>
    <w:p w:rsidR="001D7895" w:rsidRDefault="001D7895" w:rsidP="001D7895">
      <w:pPr>
        <w:pStyle w:val="P1"/>
      </w:pPr>
      <w:r>
        <w:fldChar w:fldCharType="begin"/>
      </w:r>
      <w:r>
        <w:instrText xml:space="preserve"> XE "para1:N1B91A:[P1" </w:instrText>
      </w:r>
      <w:r>
        <w:fldChar w:fldCharType="end"/>
      </w:r>
      <w:r>
        <w:t>(2)</w:t>
      </w:r>
      <w:r>
        <w:tab/>
        <w:t>This Scheme comes into force—</w:t>
      </w:r>
    </w:p>
    <w:p w:rsidR="001D7895" w:rsidRDefault="001D7895" w:rsidP="001D7895">
      <w:pPr>
        <w:pStyle w:val="P2"/>
      </w:pPr>
      <w:r>
        <w:fldChar w:fldCharType="begin"/>
      </w:r>
      <w:r>
        <w:instrText xml:space="preserve"> XE "para2:N1B920:[P2" </w:instrText>
      </w:r>
      <w:r>
        <w:fldChar w:fldCharType="end"/>
      </w:r>
      <w:r>
        <w:t>(</w:t>
      </w:r>
      <w:r>
        <w:rPr>
          <w:i/>
          <w:iCs/>
        </w:rPr>
        <w:t>a</w:t>
      </w:r>
      <w:r>
        <w:t>)</w:t>
      </w:r>
      <w:r>
        <w:tab/>
        <w:t>to the extent that it revokes the 2005 Scheme and the provisions of the 1999 Regulations other than regulations 11(</w:t>
      </w:r>
      <w:r>
        <w:rPr>
          <w:i/>
          <w:iCs/>
        </w:rPr>
        <w:t>a</w:t>
      </w:r>
      <w:r>
        <w:t>) and (</w:t>
      </w:r>
      <w:r>
        <w:rPr>
          <w:i/>
          <w:iCs/>
        </w:rPr>
        <w:t>b</w:t>
      </w:r>
      <w:r>
        <w:t>) and 12, on 1st October 2007; and</w:t>
      </w:r>
    </w:p>
    <w:p w:rsidR="001D7895" w:rsidRDefault="001D7895" w:rsidP="001D7895">
      <w:pPr>
        <w:pStyle w:val="P2"/>
      </w:pPr>
      <w:r>
        <w:fldChar w:fldCharType="begin"/>
      </w:r>
      <w:r>
        <w:instrText xml:space="preserve"> XE "para2:N1B932:[P2" </w:instrText>
      </w:r>
      <w:r>
        <w:fldChar w:fldCharType="end"/>
      </w:r>
      <w:r>
        <w:t>(</w:t>
      </w:r>
      <w:r>
        <w:rPr>
          <w:i/>
          <w:iCs/>
        </w:rPr>
        <w:t>b</w:t>
      </w:r>
      <w:r>
        <w:t>)</w:t>
      </w:r>
      <w:r>
        <w:tab/>
        <w:t>to the extent that it revokes regulations 11(</w:t>
      </w:r>
      <w:r>
        <w:rPr>
          <w:i/>
          <w:iCs/>
        </w:rPr>
        <w:t>a</w:t>
      </w:r>
      <w:r>
        <w:t>) and (</w:t>
      </w:r>
      <w:r>
        <w:rPr>
          <w:i/>
          <w:iCs/>
        </w:rPr>
        <w:t>b</w:t>
      </w:r>
      <w:r>
        <w:t>) and 12 of the 1999 Regulations, on 1st October 2009.</w:t>
      </w:r>
    </w:p>
    <w:p w:rsidR="001D7895" w:rsidRDefault="001D7895" w:rsidP="001D7895">
      <w:pPr>
        <w:pStyle w:val="P1"/>
      </w:pPr>
      <w:r>
        <w:fldChar w:fldCharType="begin"/>
      </w:r>
      <w:r>
        <w:instrText xml:space="preserve"> XE "para1:N1B944:[P1" </w:instrText>
      </w:r>
      <w:r>
        <w:fldChar w:fldCharType="end"/>
      </w:r>
      <w:r>
        <w:t>(3)</w:t>
      </w:r>
      <w:r>
        <w:tab/>
        <w:t>This Scheme applies in relation to England only.</w:t>
      </w:r>
    </w:p>
    <w:p w:rsidR="001D7895" w:rsidRDefault="001D7895" w:rsidP="001D7895">
      <w:pPr>
        <w:pStyle w:val="PHDR"/>
      </w:pPr>
      <w:r>
        <w:fldChar w:fldCharType="begin"/>
      </w:r>
      <w:r>
        <w:instrText xml:space="preserve"> XE "provision:N1B94A:[PHDR" </w:instrText>
      </w:r>
      <w:r>
        <w:fldChar w:fldCharType="end"/>
      </w:r>
      <w:r>
        <w:t>2</w:t>
      </w:r>
      <w:r>
        <w:tab/>
        <w:t>Interpretation</w:t>
      </w:r>
    </w:p>
    <w:p w:rsidR="001D7895" w:rsidRDefault="001D7895" w:rsidP="001D7895">
      <w:pPr>
        <w:pStyle w:val="P1"/>
      </w:pPr>
      <w:r>
        <w:fldChar w:fldCharType="begin"/>
      </w:r>
      <w:r>
        <w:instrText xml:space="preserve"> XE "para1:N1B953:[P1" </w:instrText>
      </w:r>
      <w:r>
        <w:fldChar w:fldCharType="end"/>
      </w:r>
      <w:r>
        <w:t>In this Scheme—</w:t>
      </w:r>
    </w:p>
    <w:p w:rsidR="001D7895" w:rsidRDefault="001D7895" w:rsidP="001D7895">
      <w:pPr>
        <w:pStyle w:val="P2"/>
      </w:pPr>
      <w:r>
        <w:fldChar w:fldCharType="begin"/>
      </w:r>
      <w:r>
        <w:instrText xml:space="preserve"> XE "para2:N1B957:[P2" </w:instrText>
      </w:r>
      <w:r>
        <w:fldChar w:fldCharType="end"/>
      </w:r>
      <w:r>
        <w:t>“the 1999 Regulations” means the Tax Credit (New Category of Child Care Provider) Regulations 1999;</w:t>
      </w:r>
    </w:p>
    <w:p w:rsidR="001D7895" w:rsidRDefault="001D7895" w:rsidP="001D7895">
      <w:pPr>
        <w:pStyle w:val="P2"/>
      </w:pPr>
      <w:r>
        <w:fldChar w:fldCharType="begin"/>
      </w:r>
      <w:r>
        <w:instrText xml:space="preserve"> XE "para2:N1B95B:[P2" </w:instrText>
      </w:r>
      <w:r>
        <w:fldChar w:fldCharType="end"/>
      </w:r>
      <w:r>
        <w:t>“the 2005 Scheme” means the Tax Credits (Approval of Child Care Providers) Scheme 2005;</w:t>
      </w:r>
    </w:p>
    <w:p w:rsidR="001D7895" w:rsidRDefault="001D7895" w:rsidP="001D7895">
      <w:pPr>
        <w:pStyle w:val="P2"/>
      </w:pPr>
      <w:r>
        <w:fldChar w:fldCharType="begin"/>
      </w:r>
      <w:r>
        <w:instrText xml:space="preserve"> XE "para2:N1B95F:[P2" </w:instrText>
      </w:r>
      <w:r>
        <w:fldChar w:fldCharType="end"/>
      </w:r>
      <w:r>
        <w:t>“the inspection provisions” means regulations 11(a) and (b) and 12 of the 1999 Regulations (access to information and records by officers of the Secretary of State and Her Majesty's Revenue and Customs); and</w:t>
      </w:r>
    </w:p>
    <w:p w:rsidR="001D7895" w:rsidRDefault="001D7895" w:rsidP="001D7895">
      <w:pPr>
        <w:pStyle w:val="P2"/>
      </w:pPr>
      <w:r>
        <w:fldChar w:fldCharType="begin"/>
      </w:r>
      <w:r>
        <w:instrText xml:space="preserve"> XE "para2:N1B963:[P2" </w:instrText>
      </w:r>
      <w:r>
        <w:fldChar w:fldCharType="end"/>
      </w:r>
      <w:r>
        <w:t>“the transitional period” means the period beginning on 1st October 2007 and ending on 1st October 2009.</w:t>
      </w:r>
    </w:p>
    <w:p w:rsidR="001D7895" w:rsidRDefault="001D7895" w:rsidP="001D7895">
      <w:pPr>
        <w:pStyle w:val="PHDR"/>
      </w:pPr>
      <w:r>
        <w:fldChar w:fldCharType="begin"/>
      </w:r>
      <w:r>
        <w:instrText xml:space="preserve"> XE "provision:N1B967:[PHDR" </w:instrText>
      </w:r>
      <w:r>
        <w:fldChar w:fldCharType="end"/>
      </w:r>
      <w:r>
        <w:t>3</w:t>
      </w:r>
      <w:r>
        <w:tab/>
        <w:t>Partial revocation of the 1999 Regulations and transitional provision</w:t>
      </w:r>
    </w:p>
    <w:p w:rsidR="001D7895" w:rsidRDefault="001D7895" w:rsidP="001D7895">
      <w:pPr>
        <w:pStyle w:val="P1"/>
      </w:pPr>
      <w:r>
        <w:fldChar w:fldCharType="begin"/>
      </w:r>
      <w:r>
        <w:instrText xml:space="preserve"> XE "para1:N1B970:[P1" </w:instrText>
      </w:r>
      <w:r>
        <w:fldChar w:fldCharType="end"/>
      </w: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1D7895" w:rsidRDefault="001D7895" w:rsidP="001D7895">
      <w:pPr>
        <w:pStyle w:val="P1"/>
      </w:pPr>
      <w:r>
        <w:lastRenderedPageBreak/>
        <w:fldChar w:fldCharType="begin"/>
      </w:r>
      <w:r>
        <w:instrText xml:space="preserve"> XE "para1:N1B976:[P1" </w:instrText>
      </w:r>
      <w:r>
        <w:fldChar w:fldCharType="end"/>
      </w: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1D7895" w:rsidRDefault="001D7895" w:rsidP="001D7895">
      <w:pPr>
        <w:pStyle w:val="P1"/>
      </w:pPr>
      <w:r>
        <w:fldChar w:fldCharType="begin"/>
      </w:r>
      <w:r>
        <w:instrText xml:space="preserve"> XE "para1:N1B97C:[P1" </w:instrText>
      </w:r>
      <w:r>
        <w:fldChar w:fldCharType="end"/>
      </w:r>
      <w:r>
        <w:t>(3)</w:t>
      </w:r>
      <w:r>
        <w:tab/>
        <w:t>During the transitional period the inspection provisions shall have effect as if—</w:t>
      </w:r>
    </w:p>
    <w:p w:rsidR="001D7895" w:rsidRDefault="001D7895" w:rsidP="001D7895">
      <w:pPr>
        <w:pStyle w:val="P2"/>
      </w:pPr>
      <w:r>
        <w:fldChar w:fldCharType="begin"/>
      </w:r>
      <w:r>
        <w:instrText xml:space="preserve"> XE "para2:N1B982:[P2" </w:instrText>
      </w:r>
      <w:r>
        <w:fldChar w:fldCharType="end"/>
      </w:r>
      <w:r>
        <w:t>(</w:t>
      </w:r>
      <w:r>
        <w:rPr>
          <w:i/>
          <w:iCs/>
        </w:rPr>
        <w:t>a</w:t>
      </w:r>
      <w:r>
        <w:t>)</w:t>
      </w:r>
      <w:r>
        <w:tab/>
        <w:t>the reference in regulation 11 to the period for which an organisation is accredited were a reference to the transitional period; and</w:t>
      </w:r>
    </w:p>
    <w:p w:rsidR="001D7895" w:rsidRDefault="001D7895" w:rsidP="001D7895">
      <w:pPr>
        <w:pStyle w:val="P2"/>
      </w:pPr>
      <w:r>
        <w:fldChar w:fldCharType="begin"/>
      </w:r>
      <w:r>
        <w:instrText xml:space="preserve"> XE "para2:N1B98C:[P2" </w:instrText>
      </w:r>
      <w:r>
        <w:fldChar w:fldCharType="end"/>
      </w:r>
      <w:r>
        <w:t>(</w:t>
      </w:r>
      <w:r>
        <w:rPr>
          <w:i/>
          <w:iCs/>
        </w:rPr>
        <w:t>b</w:t>
      </w:r>
      <w:r>
        <w:t>)</w:t>
      </w:r>
      <w:r>
        <w:tab/>
        <w:t>the reference in regulation 12 to the period during which a child care provider is approved by an accredited organisation were a reference to the transitional period.</w:t>
      </w:r>
    </w:p>
    <w:p w:rsidR="001D7895" w:rsidRDefault="001D7895" w:rsidP="001D7895">
      <w:pPr>
        <w:pStyle w:val="PHDR"/>
      </w:pPr>
      <w:r>
        <w:fldChar w:fldCharType="begin"/>
      </w:r>
      <w:r>
        <w:instrText xml:space="preserve"> XE "provision:N1B996:[PHDR" </w:instrText>
      </w:r>
      <w:r>
        <w:fldChar w:fldCharType="end"/>
      </w:r>
      <w:r>
        <w:t>4</w:t>
      </w:r>
      <w:r>
        <w:tab/>
        <w:t>Revocation of the 2005 Scheme and transitional provision</w:t>
      </w:r>
    </w:p>
    <w:p w:rsidR="001D7895" w:rsidRDefault="001D7895" w:rsidP="001D7895">
      <w:pPr>
        <w:pStyle w:val="P1"/>
      </w:pPr>
      <w:r>
        <w:fldChar w:fldCharType="begin"/>
      </w:r>
      <w:r>
        <w:instrText xml:space="preserve"> XE "para1:N1B99F:[P1" </w:instrText>
      </w:r>
      <w:r>
        <w:fldChar w:fldCharType="end"/>
      </w:r>
      <w:r>
        <w:t>(1)</w:t>
      </w:r>
      <w:r>
        <w:tab/>
        <w:t>The 2005 Scheme is revoked, subject to paragraph (2).</w:t>
      </w:r>
    </w:p>
    <w:p w:rsidR="001D7895" w:rsidRDefault="001D7895" w:rsidP="001D7895">
      <w:pPr>
        <w:pStyle w:val="P1"/>
      </w:pPr>
      <w:r>
        <w:fldChar w:fldCharType="begin"/>
      </w:r>
      <w:r>
        <w:instrText xml:space="preserve"> XE "para1:N1B9A5:[P1" </w:instrText>
      </w:r>
      <w:r>
        <w:fldChar w:fldCharType="end"/>
      </w:r>
      <w:r>
        <w:t>(2)</w:t>
      </w:r>
      <w:r>
        <w:tab/>
        <w:t>The provisions of the 2005 Scheme continue to have effect[, with the modifications in paragraph (3),]</w:t>
      </w:r>
      <w:r>
        <w:rPr>
          <w:rStyle w:val="endnoteid"/>
        </w:rPr>
        <w:t>1</w:t>
      </w:r>
      <w:r>
        <w:t xml:space="preserve"> in relation to—</w:t>
      </w:r>
    </w:p>
    <w:p w:rsidR="001D7895" w:rsidRDefault="001D7895" w:rsidP="001D7895">
      <w:pPr>
        <w:pStyle w:val="P2"/>
      </w:pPr>
      <w:r>
        <w:fldChar w:fldCharType="begin"/>
      </w:r>
      <w:r>
        <w:instrText xml:space="preserve"> XE "para2:N1B9AE:[P2" </w:instrText>
      </w:r>
      <w:r>
        <w:fldChar w:fldCharType="end"/>
      </w:r>
      <w:r>
        <w:t>(</w:t>
      </w:r>
      <w:r>
        <w:rPr>
          <w:i/>
          <w:iCs/>
        </w:rPr>
        <w:t>a</w:t>
      </w:r>
      <w:r>
        <w:t>)</w:t>
      </w:r>
      <w:r>
        <w:tab/>
        <w:t>any approval granted to a child care provider under that Scheme which is valid immediately before 1st October 2007; and</w:t>
      </w:r>
    </w:p>
    <w:p w:rsidR="001D7895" w:rsidRDefault="001D7895" w:rsidP="001D7895">
      <w:pPr>
        <w:pStyle w:val="P2"/>
      </w:pPr>
      <w:r>
        <w:fldChar w:fldCharType="begin"/>
      </w:r>
      <w:r>
        <w:instrText xml:space="preserve"> XE "para2:N1B9B8:[P2" </w:instrText>
      </w:r>
      <w:r>
        <w:fldChar w:fldCharType="end"/>
      </w:r>
      <w:r>
        <w:t>(</w:t>
      </w:r>
      <w:r>
        <w:rPr>
          <w:i/>
          <w:iCs/>
        </w:rPr>
        <w:t>b</w:t>
      </w:r>
      <w:r>
        <w:t>)</w:t>
      </w:r>
      <w:r>
        <w:tab/>
        <w:t>any application for approval under that Scheme which has not been granted before 1st October 2007.</w:t>
      </w:r>
    </w:p>
    <w:p w:rsidR="001D7895" w:rsidRDefault="001D7895" w:rsidP="001D7895">
      <w:pPr>
        <w:pStyle w:val="P1"/>
      </w:pPr>
      <w:r>
        <w:fldChar w:fldCharType="begin"/>
      </w:r>
      <w:r>
        <w:instrText xml:space="preserve"> XE "para1:N1B9C2:[P1" </w:instrText>
      </w:r>
      <w:r>
        <w:fldChar w:fldCharType="end"/>
      </w:r>
      <w:r>
        <w:t>[(3)</w:t>
      </w:r>
      <w:r>
        <w:tab/>
        <w:t>For the purposes of paragraph (2) the 2005 Scheme is amended as follows—</w:t>
      </w:r>
    </w:p>
    <w:p w:rsidR="001D7895" w:rsidRDefault="001D7895" w:rsidP="001D7895">
      <w:pPr>
        <w:pStyle w:val="P2"/>
      </w:pPr>
      <w:r>
        <w:fldChar w:fldCharType="begin"/>
      </w:r>
      <w:r>
        <w:instrText xml:space="preserve"> XE "para2:N1B9C8:[P2" </w:instrText>
      </w:r>
      <w:r>
        <w:fldChar w:fldCharType="end"/>
      </w:r>
      <w:r>
        <w:t>(</w:t>
      </w:r>
      <w:r>
        <w:rPr>
          <w:i/>
          <w:iCs/>
        </w:rPr>
        <w:t>a</w:t>
      </w:r>
      <w:r>
        <w:t>)</w:t>
      </w:r>
      <w:r>
        <w:tab/>
        <w:t>in article 2 omit the definitions of “the Tribunal” and “the Tribunal Regulations”;</w:t>
      </w:r>
    </w:p>
    <w:p w:rsidR="001D7895" w:rsidRDefault="001D7895" w:rsidP="001D7895">
      <w:pPr>
        <w:pStyle w:val="P2"/>
      </w:pPr>
      <w:r>
        <w:fldChar w:fldCharType="begin"/>
      </w:r>
      <w:r>
        <w:instrText xml:space="preserve"> XE "para2:N1B9D2:[P2" </w:instrText>
      </w:r>
      <w:r>
        <w:fldChar w:fldCharType="end"/>
      </w:r>
      <w:r>
        <w:t>(</w:t>
      </w:r>
      <w:r>
        <w:rPr>
          <w:i/>
          <w:iCs/>
        </w:rPr>
        <w:t>b</w:t>
      </w:r>
      <w:r>
        <w:t>)</w:t>
      </w:r>
      <w:r>
        <w:tab/>
        <w:t>in article 11—</w:t>
      </w:r>
    </w:p>
    <w:p w:rsidR="001D7895" w:rsidRDefault="001D7895" w:rsidP="001D7895">
      <w:pPr>
        <w:pStyle w:val="P3"/>
      </w:pPr>
      <w:r>
        <w:fldChar w:fldCharType="begin"/>
      </w:r>
      <w:r>
        <w:instrText xml:space="preserve"> XE "para3:N1B9DC:[P3" </w:instrText>
      </w:r>
      <w:r>
        <w:fldChar w:fldCharType="end"/>
      </w:r>
      <w:r>
        <w:t>(i)</w:t>
      </w:r>
      <w:r>
        <w:tab/>
        <w:t>in paragraphs (1) and (5) for “Tribunal” substitute “First-tier Tribunal”;</w:t>
      </w:r>
    </w:p>
    <w:p w:rsidR="001D7895" w:rsidRDefault="001D7895" w:rsidP="001D7895">
      <w:pPr>
        <w:pStyle w:val="P3"/>
      </w:pPr>
      <w:r>
        <w:fldChar w:fldCharType="begin"/>
      </w:r>
      <w:r>
        <w:instrText xml:space="preserve"> XE "para3:N1B9E2:[P3" </w:instrText>
      </w:r>
      <w:r>
        <w:fldChar w:fldCharType="end"/>
      </w:r>
      <w:r>
        <w:t>(ii)</w:t>
      </w:r>
      <w:r>
        <w:tab/>
        <w:t>for paragraph (2) substitute—</w:t>
      </w:r>
    </w:p>
    <w:p w:rsidR="001D7895" w:rsidRDefault="001D7895" w:rsidP="001D7895">
      <w:pPr>
        <w:pStyle w:val="ISOB"/>
      </w:pPr>
      <w:r>
        <w:fldChar w:fldCharType="begin"/>
      </w:r>
      <w:r>
        <w:instrText xml:space="preserve"> XE "amending-text:N1B9E8:ISOB" </w:instrText>
      </w:r>
      <w:r>
        <w:fldChar w:fldCharType="end"/>
      </w:r>
      <w:r>
        <w:t>[ISOB</w:t>
      </w:r>
    </w:p>
    <w:p w:rsidR="001D7895" w:rsidRDefault="001D7895" w:rsidP="001D7895">
      <w:pPr>
        <w:pStyle w:val="P1"/>
      </w:pPr>
      <w:r>
        <w:fldChar w:fldCharType="begin"/>
      </w:r>
      <w:r>
        <w:instrText xml:space="preserve"> XE "para1:N1B9EB:[P1" </w:instrText>
      </w:r>
      <w:r>
        <w:fldChar w:fldCharType="end"/>
      </w:r>
      <w:r>
        <w:t>“(2)</w:t>
      </w:r>
      <w:r>
        <w:tab/>
        <w:t>Tribunal Procedure Rules shall apply to an appeal under paragraph (1) as they apply to an appeal under section 79M of the 1989 Act.”; and</w:t>
      </w:r>
    </w:p>
    <w:p w:rsidR="001D7895" w:rsidRDefault="001D7895" w:rsidP="001D7895">
      <w:pPr>
        <w:pStyle w:val="ISOE"/>
      </w:pPr>
      <w:r>
        <w:fldChar w:fldCharType="begin"/>
      </w:r>
      <w:r>
        <w:instrText xml:space="preserve"> XE "amending-text:N1B9E8:ISOE" </w:instrText>
      </w:r>
      <w:r>
        <w:fldChar w:fldCharType="end"/>
      </w:r>
      <w:r>
        <w:t>[ISOE</w:t>
      </w:r>
    </w:p>
    <w:p w:rsidR="001D7895" w:rsidRDefault="001D7895" w:rsidP="001D7895">
      <w:pPr>
        <w:pStyle w:val="P2"/>
      </w:pPr>
      <w:r>
        <w:fldChar w:fldCharType="begin"/>
      </w:r>
      <w:r>
        <w:instrText xml:space="preserve"> XE "para2:N1B9F1:[P2" </w:instrText>
      </w:r>
      <w:r>
        <w:fldChar w:fldCharType="end"/>
      </w:r>
      <w:r>
        <w:t>(</w:t>
      </w:r>
      <w:r>
        <w:rPr>
          <w:i/>
          <w:iCs/>
        </w:rPr>
        <w:t>c</w:t>
      </w:r>
      <w:r>
        <w:t>)</w:t>
      </w:r>
      <w:r>
        <w:tab/>
        <w:t>omit paragraphs (3) and (4).]</w:t>
      </w:r>
      <w:r>
        <w:rPr>
          <w:rStyle w:val="endnoteid"/>
        </w:rPr>
        <w:t>1</w:t>
      </w:r>
      <w:r>
        <w:t xml:space="preserve"> </w:t>
      </w:r>
    </w:p>
    <w:p w:rsidR="001D7895" w:rsidRDefault="001D7895" w:rsidP="001D7895">
      <w:pPr>
        <w:pStyle w:val="CommentB"/>
      </w:pPr>
      <w:r>
        <w:fldChar w:fldCharType="begin"/>
      </w:r>
      <w:r>
        <w:instrText xml:space="preserve"> XE "comment:N1B9FD" </w:instrText>
      </w:r>
      <w:r>
        <w:fldChar w:fldCharType="end"/>
      </w:r>
      <w:r>
        <w:t>#CommentB</w:t>
      </w:r>
    </w:p>
    <w:p w:rsidR="001D7895" w:rsidRDefault="001D7895" w:rsidP="001D7895">
      <w:pPr>
        <w:pStyle w:val="n-GenericHead"/>
      </w:pPr>
      <w:r>
        <w:rPr>
          <w:b/>
          <w:bCs/>
        </w:rPr>
        <w:fldChar w:fldCharType="begin"/>
      </w:r>
      <w:r>
        <w:rPr>
          <w:b/>
          <w:bCs/>
        </w:rPr>
        <w:instrText xml:space="preserve"> XE "generic-hd:N1BA01:n-GenericHead" </w:instrText>
      </w:r>
      <w:r>
        <w:rPr>
          <w:b/>
          <w:bCs/>
        </w:rPr>
        <w:fldChar w:fldCharType="end"/>
      </w:r>
      <w:r>
        <w:rPr>
          <w:b/>
          <w:bCs/>
        </w:rPr>
        <w:t>Amendments—</w:t>
      </w:r>
      <w:r>
        <w:t xml:space="preserve"> </w:t>
      </w:r>
    </w:p>
    <w:p w:rsidR="001D7895" w:rsidRDefault="001D7895" w:rsidP="001D7895">
      <w:pPr>
        <w:pStyle w:val="EndnotesB"/>
      </w:pPr>
      <w:r>
        <w:fldChar w:fldCharType="begin"/>
      </w:r>
      <w:r>
        <w:instrText xml:space="preserve"> XE "endnotes:N1BA04:EndnotesB" </w:instrText>
      </w:r>
      <w:r>
        <w:fldChar w:fldCharType="end"/>
      </w:r>
      <w:r>
        <w:t>#EndnotesB</w:t>
      </w:r>
    </w:p>
    <w:p w:rsidR="001D7895" w:rsidRDefault="001D7895" w:rsidP="001D7895">
      <w:pPr>
        <w:pStyle w:val="n-List1"/>
      </w:pPr>
      <w:r>
        <w:fldChar w:fldCharType="begin"/>
      </w:r>
      <w:r>
        <w:instrText xml:space="preserve"> XE "para:N1BA07:n-List1" </w:instrText>
      </w:r>
      <w:r>
        <w:fldChar w:fldCharType="end"/>
      </w:r>
      <w:r>
        <w:t>1</w:t>
      </w:r>
      <w:r>
        <w:tab/>
        <w:t>In para (2), words inserted, and para (3) inserted, by the Tribunals, Courts and Enforcement Act 2007 (Transitional and Consequential Provisions) Order, SI 2008/2683 art 6(1), Sch 1 para 329 with effect from 3 November 2008.</w:t>
      </w:r>
    </w:p>
    <w:p w:rsidR="001D7895" w:rsidRDefault="001D7895" w:rsidP="001D7895">
      <w:pPr>
        <w:pStyle w:val="EndnotesE"/>
      </w:pPr>
      <w:r>
        <w:fldChar w:fldCharType="begin"/>
      </w:r>
      <w:r>
        <w:instrText xml:space="preserve"> XE "endnotes:N1BA04:EndnotesE" </w:instrText>
      </w:r>
      <w:r>
        <w:fldChar w:fldCharType="end"/>
      </w:r>
      <w:r>
        <w:t>#EndnotesE</w:t>
      </w:r>
    </w:p>
    <w:p w:rsidR="001D7895" w:rsidRDefault="001D7895" w:rsidP="001D7895">
      <w:pPr>
        <w:pStyle w:val="CommentE"/>
      </w:pPr>
      <w:r>
        <w:fldChar w:fldCharType="begin"/>
      </w:r>
      <w:r>
        <w:instrText xml:space="preserve"> XE "comment:N1B9FD" </w:instrText>
      </w:r>
      <w:r>
        <w:fldChar w:fldCharType="end"/>
      </w:r>
      <w:r>
        <w:t>#CommentE</w:t>
      </w:r>
    </w:p>
    <w:p w:rsidR="00745DC2" w:rsidRDefault="001D789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95"/>
    <w:rsid w:val="001D7895"/>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D789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1D7895"/>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D789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D789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D789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D789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D789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D789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D789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D78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D78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D789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D789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D789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D789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D7895"/>
    <w:pPr>
      <w:spacing w:before="240" w:after="0" w:line="240" w:lineRule="auto"/>
    </w:pPr>
    <w:rPr>
      <w:rFonts w:ascii="Arial" w:eastAsia="Times New Roman" w:hAnsi="Arial" w:cs="Times New Roman"/>
      <w:sz w:val="20"/>
      <w:szCs w:val="20"/>
      <w:lang w:eastAsia="en-GB"/>
    </w:rPr>
  </w:style>
  <w:style w:type="paragraph" w:customStyle="1" w:styleId="P2">
    <w:name w:val="[P2"/>
    <w:rsid w:val="001D789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D7895"/>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1D789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1D789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1D789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D789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1D7895"/>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D789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D789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D789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D789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D789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D789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D789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D78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D78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D789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D789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D789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D789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D7895"/>
    <w:pPr>
      <w:spacing w:before="240" w:after="0" w:line="240" w:lineRule="auto"/>
    </w:pPr>
    <w:rPr>
      <w:rFonts w:ascii="Arial" w:eastAsia="Times New Roman" w:hAnsi="Arial" w:cs="Times New Roman"/>
      <w:sz w:val="20"/>
      <w:szCs w:val="20"/>
      <w:lang w:eastAsia="en-GB"/>
    </w:rPr>
  </w:style>
  <w:style w:type="paragraph" w:customStyle="1" w:styleId="P2">
    <w:name w:val="[P2"/>
    <w:rsid w:val="001D789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D7895"/>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1D789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1D789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1D789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2015-02-10T11:34:00Z</dcterms:created>
  <dcterms:modified xsi:type="dcterms:W3CDTF">2015-02-10T11:35:00Z</dcterms:modified>
</cp:coreProperties>
</file>