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F" w:rsidRDefault="00EE5D5F" w:rsidP="00EE5D5F">
      <w:pPr>
        <w:pStyle w:val="SNUM"/>
      </w:pPr>
      <w:r>
        <w:fldChar w:fldCharType="begin"/>
      </w:r>
      <w:r>
        <w:instrText xml:space="preserve"> XE "officialnum:N1F71C:[SNUM" </w:instrText>
      </w:r>
      <w:r>
        <w:fldChar w:fldCharType="end"/>
      </w:r>
      <w:r>
        <w:t>2011/1502</w:t>
      </w:r>
    </w:p>
    <w:p w:rsidR="00EE5D5F" w:rsidRDefault="00EE5D5F" w:rsidP="00EE5D5F">
      <w:pPr>
        <w:pStyle w:val="TTL"/>
      </w:pPr>
      <w:r>
        <w:fldChar w:fldCharType="begin"/>
      </w:r>
      <w:r>
        <w:instrText xml:space="preserve"> XE "title:N1F723:[TTL" </w:instrText>
      </w:r>
      <w:r>
        <w:fldChar w:fldCharType="end"/>
      </w:r>
      <w:r>
        <w:t>Taxation of Equitable Life (Payments) Order 2011</w:t>
      </w:r>
    </w:p>
    <w:p w:rsidR="00EE5D5F" w:rsidRDefault="00EE5D5F" w:rsidP="00EE5D5F">
      <w:pPr>
        <w:pStyle w:val="MADE"/>
      </w:pPr>
      <w:r>
        <w:fldChar w:fldCharType="begin"/>
      </w:r>
      <w:r>
        <w:instrText xml:space="preserve"> XE "made:N1F726:[MADE" </w:instrText>
      </w:r>
      <w:r>
        <w:fldChar w:fldCharType="end"/>
      </w:r>
      <w:r>
        <w:t>Made</w:t>
      </w:r>
      <w:r>
        <w:tab/>
        <w:t>15th June 2011</w:t>
      </w:r>
    </w:p>
    <w:p w:rsidR="00EE5D5F" w:rsidRDefault="00EE5D5F" w:rsidP="00EE5D5F">
      <w:pPr>
        <w:pStyle w:val="OPER"/>
      </w:pPr>
      <w:r>
        <w:fldChar w:fldCharType="begin"/>
      </w:r>
      <w:r>
        <w:instrText xml:space="preserve"> XE "operation:N1F72C:[OPER" </w:instrText>
      </w:r>
      <w:r>
        <w:fldChar w:fldCharType="end"/>
      </w:r>
      <w:r>
        <w:t>Coming into force in accordance with article 1(1)</w:t>
      </w:r>
    </w:p>
    <w:p w:rsidR="00EE5D5F" w:rsidRDefault="00EE5D5F" w:rsidP="00EE5D5F">
      <w:pPr>
        <w:pStyle w:val="PREA"/>
      </w:pPr>
      <w:r>
        <w:fldChar w:fldCharType="begin"/>
      </w:r>
      <w:r>
        <w:instrText xml:space="preserve"> XE "preamble:N1F730:PREA" </w:instrText>
      </w:r>
      <w:r>
        <w:fldChar w:fldCharType="end"/>
      </w:r>
      <w:r>
        <w:t>[PREA</w:t>
      </w:r>
    </w:p>
    <w:p w:rsidR="00EE5D5F" w:rsidRDefault="00EE5D5F" w:rsidP="00EE5D5F">
      <w:pPr>
        <w:pStyle w:val="P1"/>
      </w:pPr>
      <w:r>
        <w:fldChar w:fldCharType="begin"/>
      </w:r>
      <w:r>
        <w:instrText xml:space="preserve"> XE "para1:N1F733:[P1" </w:instrText>
      </w:r>
      <w:r>
        <w:fldChar w:fldCharType="end"/>
      </w:r>
      <w:r>
        <w:t>The Treasury make the following Order in exercise of the powers conferred by section 1(3) and (4) of the Equitable Life (Payments) Act 2010</w:t>
      </w:r>
    </w:p>
    <w:p w:rsidR="00EE5D5F" w:rsidRDefault="00EE5D5F" w:rsidP="00EE5D5F">
      <w:pPr>
        <w:pStyle w:val="P1"/>
      </w:pPr>
      <w:r>
        <w:fldChar w:fldCharType="begin"/>
      </w:r>
      <w:r>
        <w:instrText xml:space="preserve"> XE "para1:N1F737:[P1" </w:instrText>
      </w:r>
      <w:r>
        <w:fldChar w:fldCharType="end"/>
      </w:r>
      <w:r>
        <w:t>In accordance with section 1(5) of that Act, a draft of this Order was laid before Parliament and approved by a resolution of each House of Parliament.</w:t>
      </w:r>
    </w:p>
    <w:p w:rsidR="00EE5D5F" w:rsidRDefault="00EE5D5F" w:rsidP="00EE5D5F">
      <w:pPr>
        <w:pStyle w:val="MAIN"/>
      </w:pPr>
      <w:r>
        <w:fldChar w:fldCharType="begin"/>
      </w:r>
      <w:r>
        <w:instrText xml:space="preserve"> XE "main:N1F73B:MAIN" </w:instrText>
      </w:r>
      <w:r>
        <w:fldChar w:fldCharType="end"/>
      </w:r>
      <w:r>
        <w:t>[MAIN</w:t>
      </w:r>
    </w:p>
    <w:p w:rsidR="00EE5D5F" w:rsidRDefault="00EE5D5F" w:rsidP="00EE5D5F">
      <w:pPr>
        <w:pStyle w:val="PHDR"/>
      </w:pPr>
      <w:r>
        <w:fldChar w:fldCharType="begin"/>
      </w:r>
      <w:r>
        <w:instrText xml:space="preserve"> XE "provision:N1F754:[PHDR" </w:instrText>
      </w:r>
      <w:r>
        <w:fldChar w:fldCharType="end"/>
      </w:r>
      <w:r>
        <w:t>1</w:t>
      </w:r>
      <w:r>
        <w:tab/>
        <w:t>Citation, commencement, effect and interpretation</w:t>
      </w:r>
    </w:p>
    <w:p w:rsidR="00EE5D5F" w:rsidRDefault="00EE5D5F" w:rsidP="00EE5D5F">
      <w:pPr>
        <w:pStyle w:val="P1"/>
      </w:pPr>
      <w:r>
        <w:fldChar w:fldCharType="begin"/>
      </w:r>
      <w:r>
        <w:instrText xml:space="preserve"> XE "para1:N1F78E:[P1" </w:instrText>
      </w:r>
      <w:r>
        <w:fldChar w:fldCharType="end"/>
      </w:r>
      <w:r>
        <w:t>(1)</w:t>
      </w:r>
      <w:r>
        <w:tab/>
        <w:t>This Order may be cited as the Taxation of Equitable Life (Payments) Order 2011 and shall come into force on the day after the day on which it is made.</w:t>
      </w:r>
    </w:p>
    <w:p w:rsidR="00EE5D5F" w:rsidRDefault="00EE5D5F" w:rsidP="00EE5D5F">
      <w:pPr>
        <w:pStyle w:val="P1"/>
      </w:pPr>
      <w:r>
        <w:fldChar w:fldCharType="begin"/>
      </w:r>
      <w:r>
        <w:instrText xml:space="preserve"> XE "para1:N1F794:[P1" </w:instrText>
      </w:r>
      <w:r>
        <w:fldChar w:fldCharType="end"/>
      </w:r>
      <w:r>
        <w:t>(2)</w:t>
      </w:r>
      <w:r>
        <w:tab/>
        <w:t>This Order has effect in relation to authorised payments made after the day on which this Order is made.</w:t>
      </w:r>
    </w:p>
    <w:p w:rsidR="00EE5D5F" w:rsidRDefault="00EE5D5F" w:rsidP="00EE5D5F">
      <w:pPr>
        <w:pStyle w:val="P1"/>
      </w:pPr>
      <w:r>
        <w:fldChar w:fldCharType="begin"/>
      </w:r>
      <w:r>
        <w:instrText xml:space="preserve"> XE "para1:N1F79A:[P1" </w:instrText>
      </w:r>
      <w:r>
        <w:fldChar w:fldCharType="end"/>
      </w:r>
      <w:r>
        <w:t>(3)</w:t>
      </w:r>
      <w:r>
        <w:tab/>
        <w:t>In this Order “authorised payment” means a payment to which section 1 of the Equitable Life (Payments) Act 2010 applies.</w:t>
      </w:r>
    </w:p>
    <w:p w:rsidR="00EE5D5F" w:rsidRDefault="00EE5D5F" w:rsidP="00EE5D5F">
      <w:pPr>
        <w:pStyle w:val="PHDR"/>
      </w:pPr>
      <w:r>
        <w:fldChar w:fldCharType="begin"/>
      </w:r>
      <w:r>
        <w:instrText xml:space="preserve"> XE "provision:N1F7A0:[PHDR" </w:instrText>
      </w:r>
      <w:r>
        <w:fldChar w:fldCharType="end"/>
      </w:r>
      <w:r>
        <w:t>2</w:t>
      </w:r>
      <w:r>
        <w:tab/>
        <w:t>Capital gains tax</w:t>
      </w:r>
    </w:p>
    <w:p w:rsidR="00EE5D5F" w:rsidRDefault="00EE5D5F" w:rsidP="00EE5D5F">
      <w:pPr>
        <w:pStyle w:val="P1"/>
      </w:pPr>
      <w:r>
        <w:fldChar w:fldCharType="begin"/>
      </w:r>
      <w:r>
        <w:instrText xml:space="preserve"> XE "para1:N1F7DA:[P1" </w:instrText>
      </w:r>
      <w:r>
        <w:fldChar w:fldCharType="end"/>
      </w:r>
      <w:r>
        <w:t>An authorised payment shall be disregarded for the purposes of capital gains tax.</w:t>
      </w:r>
    </w:p>
    <w:p w:rsidR="00EE5D5F" w:rsidRDefault="00EE5D5F" w:rsidP="00EE5D5F">
      <w:pPr>
        <w:pStyle w:val="PHDR"/>
      </w:pPr>
      <w:r>
        <w:fldChar w:fldCharType="begin"/>
      </w:r>
      <w:r>
        <w:instrText xml:space="preserve"> XE "provision:N1F7DE:[PHDR" </w:instrText>
      </w:r>
      <w:r>
        <w:fldChar w:fldCharType="end"/>
      </w:r>
      <w:r>
        <w:t>3</w:t>
      </w:r>
      <w:r>
        <w:tab/>
        <w:t>Corporation tax</w:t>
      </w:r>
    </w:p>
    <w:p w:rsidR="00EE5D5F" w:rsidRDefault="00EE5D5F" w:rsidP="00EE5D5F">
      <w:pPr>
        <w:pStyle w:val="P1"/>
      </w:pPr>
      <w:r>
        <w:fldChar w:fldCharType="begin"/>
      </w:r>
      <w:r>
        <w:instrText xml:space="preserve"> XE "para1:N1F818:[P1" </w:instrText>
      </w:r>
      <w:r>
        <w:fldChar w:fldCharType="end"/>
      </w:r>
      <w:r>
        <w:t>An authorised payment shall be disregarded for the purposes of the Corporation Tax Acts.</w:t>
      </w:r>
    </w:p>
    <w:p w:rsidR="00EE5D5F" w:rsidRDefault="00EE5D5F" w:rsidP="00EE5D5F">
      <w:pPr>
        <w:pStyle w:val="PHDR"/>
      </w:pPr>
      <w:r>
        <w:fldChar w:fldCharType="begin"/>
      </w:r>
      <w:r>
        <w:instrText xml:space="preserve"> XE "provision:N1F81C:[PHDR" </w:instrText>
      </w:r>
      <w:r>
        <w:fldChar w:fldCharType="end"/>
      </w:r>
      <w:r>
        <w:t>4</w:t>
      </w:r>
      <w:r>
        <w:tab/>
        <w:t>Income tax</w:t>
      </w:r>
    </w:p>
    <w:p w:rsidR="00EE5D5F" w:rsidRDefault="00EE5D5F" w:rsidP="00EE5D5F">
      <w:pPr>
        <w:pStyle w:val="P1"/>
      </w:pPr>
      <w:r>
        <w:fldChar w:fldCharType="begin"/>
      </w:r>
      <w:r>
        <w:instrText xml:space="preserve"> XE "para1:N1F856:[P1" </w:instrText>
      </w:r>
      <w:r>
        <w:fldChar w:fldCharType="end"/>
      </w:r>
      <w:r>
        <w:t>An authorised payment shall be disregarded for the purposes of the Income Tax Acts.</w:t>
      </w:r>
    </w:p>
    <w:p w:rsidR="00EE5D5F" w:rsidRDefault="00EE5D5F" w:rsidP="00EE5D5F">
      <w:pPr>
        <w:pStyle w:val="PHDR"/>
      </w:pPr>
      <w:r>
        <w:fldChar w:fldCharType="begin"/>
      </w:r>
      <w:r>
        <w:instrText xml:space="preserve"> XE "provision:N1F85A:[PHDR" </w:instrText>
      </w:r>
      <w:r>
        <w:fldChar w:fldCharType="end"/>
      </w:r>
      <w:r>
        <w:t>5</w:t>
      </w:r>
      <w:r>
        <w:tab/>
        <w:t>Inheritance tax</w:t>
      </w:r>
    </w:p>
    <w:p w:rsidR="00EE5D5F" w:rsidRDefault="00EE5D5F" w:rsidP="00EE5D5F">
      <w:pPr>
        <w:pStyle w:val="P1"/>
      </w:pPr>
      <w:r>
        <w:fldChar w:fldCharType="begin"/>
      </w:r>
      <w:r>
        <w:instrText xml:space="preserve"> XE "para1:N1F894:[P1" </w:instrText>
      </w:r>
      <w:r>
        <w:fldChar w:fldCharType="end"/>
      </w:r>
      <w:r>
        <w:t>(1)</w:t>
      </w:r>
      <w:r>
        <w:tab/>
        <w:t>For the purposes of the Inheritance Tax Act 1984—</w:t>
      </w:r>
    </w:p>
    <w:p w:rsidR="00EE5D5F" w:rsidRDefault="00EE5D5F" w:rsidP="00EE5D5F">
      <w:pPr>
        <w:pStyle w:val="P2"/>
      </w:pPr>
      <w:r>
        <w:fldChar w:fldCharType="begin"/>
      </w:r>
      <w:r>
        <w:instrText xml:space="preserve"> XE "para2:N1F89A:[P2"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determining the value of a person’s estate immediately before that person’s death, no account shall be taken of any value attributable to a right to, or interest in, an authorised payment made after that person’s death; and</w:t>
      </w:r>
    </w:p>
    <w:p w:rsidR="00EE5D5F" w:rsidRDefault="00EE5D5F" w:rsidP="00EE5D5F">
      <w:pPr>
        <w:pStyle w:val="P2"/>
      </w:pPr>
      <w:r>
        <w:fldChar w:fldCharType="begin"/>
      </w:r>
      <w:r>
        <w:instrText xml:space="preserve"> XE "para2:N1F8A4:[P2"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in determining the value of relevant property immediately before a ten-year anniversary for the purposes of the charge under section 64 of the Inheritance Tax Act 1984, no account shall be taken of any value attributable to a right to, or interest in, an authorised payment made on or after that ten-year anniversary.</w:t>
      </w:r>
    </w:p>
    <w:p w:rsidR="00EE5D5F" w:rsidRDefault="00EE5D5F" w:rsidP="00EE5D5F">
      <w:pPr>
        <w:pStyle w:val="P1"/>
      </w:pPr>
      <w:r>
        <w:fldChar w:fldCharType="begin"/>
      </w:r>
      <w:r>
        <w:instrText xml:space="preserve"> XE "para1:N1F8AE:[P1" </w:instrText>
      </w:r>
      <w:r>
        <w:fldChar w:fldCharType="end"/>
      </w:r>
      <w:r>
        <w:t>(2)</w:t>
      </w:r>
      <w:r>
        <w:tab/>
        <w:t>In this article—</w:t>
      </w:r>
    </w:p>
    <w:p w:rsidR="00EE5D5F" w:rsidRDefault="00EE5D5F" w:rsidP="00EE5D5F">
      <w:pPr>
        <w:pStyle w:val="P2"/>
      </w:pPr>
      <w:r>
        <w:fldChar w:fldCharType="begin"/>
      </w:r>
      <w:r>
        <w:instrText xml:space="preserve"> XE "para2:N1F8B4:[P2" </w:instrText>
      </w:r>
      <w:r>
        <w:fldChar w:fldCharType="end"/>
      </w:r>
      <w:r>
        <w:t>“estate” has the meaning given by section 272 of the Inheritance Tax Act 1984;</w:t>
      </w:r>
    </w:p>
    <w:p w:rsidR="00EE5D5F" w:rsidRDefault="00EE5D5F" w:rsidP="00EE5D5F">
      <w:pPr>
        <w:pStyle w:val="P2"/>
      </w:pPr>
      <w:r>
        <w:lastRenderedPageBreak/>
        <w:fldChar w:fldCharType="begin"/>
      </w:r>
      <w:r>
        <w:instrText xml:space="preserve"> XE "para2:N1F8B8:[P2" </w:instrText>
      </w:r>
      <w:r>
        <w:fldChar w:fldCharType="end"/>
      </w:r>
      <w:r>
        <w:t>“relevant property” has the meaning given by section 58 of that Act; and</w:t>
      </w:r>
    </w:p>
    <w:p w:rsidR="00EE5D5F" w:rsidRDefault="00EE5D5F" w:rsidP="00EE5D5F">
      <w:pPr>
        <w:pStyle w:val="P2"/>
      </w:pPr>
      <w:r>
        <w:fldChar w:fldCharType="begin"/>
      </w:r>
      <w:r>
        <w:instrText xml:space="preserve"> XE "para2:N1F8BC:[P2" </w:instrText>
      </w:r>
      <w:r>
        <w:fldChar w:fldCharType="end"/>
      </w:r>
      <w:r>
        <w:t>“ten-year anniversary” has the meaning given by section 61 of that Act.</w:t>
      </w:r>
    </w:p>
    <w:p w:rsidR="00EE5D5F" w:rsidRDefault="00EE5D5F" w:rsidP="00EE5D5F">
      <w:pPr>
        <w:pStyle w:val="PHDR"/>
      </w:pPr>
      <w:r>
        <w:fldChar w:fldCharType="begin"/>
      </w:r>
      <w:r>
        <w:instrText xml:space="preserve"> XE "provision:N1F8C0:[PHDR" </w:instrText>
      </w:r>
      <w:r>
        <w:fldChar w:fldCharType="end"/>
      </w:r>
      <w:r>
        <w:t>6</w:t>
      </w:r>
      <w:r>
        <w:tab/>
        <w:t>Tax Credits</w:t>
      </w:r>
    </w:p>
    <w:p w:rsidR="00576004" w:rsidRDefault="00EE5D5F" w:rsidP="00EE5D5F">
      <w:r>
        <w:fldChar w:fldCharType="begin"/>
      </w:r>
      <w:r>
        <w:instrText xml:space="preserve"> XE "para1:N1F8FA:[P1" </w:instrText>
      </w:r>
      <w:r>
        <w:fldChar w:fldCharType="end"/>
      </w:r>
      <w:r>
        <w:t>In calculating investment income in accordance with regulation 10 of the Tax Credits (Definition and Calculation of Income) Regulations 2002, an authorised payment shall be disregarded.</w:t>
      </w:r>
      <w:bookmarkStart w:id="0" w:name="_GoBack"/>
      <w:bookmarkEnd w:id="0"/>
    </w:p>
    <w:sectPr w:rsidR="00576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5F"/>
    <w:rsid w:val="00576004"/>
    <w:rsid w:val="00E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E2620-749C-4444-A447-13BBDD30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5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EE5D5F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EE5D5F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OPER">
    <w:name w:val="[OPER"/>
    <w:rsid w:val="00EE5D5F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EE5D5F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PREA">
    <w:name w:val="[PREA"/>
    <w:rsid w:val="00EE5D5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MAIN">
    <w:name w:val="[MAIN"/>
    <w:rsid w:val="00EE5D5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EE5D5F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EE5D5F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EE5D5F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</dc:creator>
  <cp:keywords/>
  <dc:description/>
  <cp:lastModifiedBy>LASA</cp:lastModifiedBy>
  <cp:revision>1</cp:revision>
  <dcterms:created xsi:type="dcterms:W3CDTF">2016-06-24T11:35:00Z</dcterms:created>
  <dcterms:modified xsi:type="dcterms:W3CDTF">2016-06-24T11:35:00Z</dcterms:modified>
</cp:coreProperties>
</file>