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66" w:rsidRDefault="000D0F66" w:rsidP="000D0F66">
      <w:pPr>
        <w:pStyle w:val="SNUM"/>
      </w:pPr>
      <w:r>
        <w:fldChar w:fldCharType="begin"/>
      </w:r>
      <w:r>
        <w:instrText xml:space="preserve"> XE "officialnum:N1C027:[SNUM" </w:instrText>
      </w:r>
      <w:r>
        <w:fldChar w:fldCharType="end"/>
      </w:r>
      <w:r>
        <w:t>2010/42</w:t>
      </w:r>
    </w:p>
    <w:p w:rsidR="000D0F66" w:rsidRDefault="000D0F66" w:rsidP="000D0F66">
      <w:pPr>
        <w:pStyle w:val="TTL"/>
      </w:pPr>
      <w:r>
        <w:fldChar w:fldCharType="begin"/>
      </w:r>
      <w:r>
        <w:instrText xml:space="preserve"> XE "title:N1C02E:[TTL" </w:instrText>
      </w:r>
      <w:r>
        <w:fldChar w:fldCharType="end"/>
      </w:r>
      <w:r>
        <w:t>First-tier Tribunal (Gambling) Fees Order 2010</w:t>
      </w:r>
    </w:p>
    <w:p w:rsidR="000D0F66" w:rsidRDefault="000D0F66" w:rsidP="000D0F66">
      <w:pPr>
        <w:pStyle w:val="n-ShortHead"/>
      </w:pPr>
      <w:r>
        <w:fldChar w:fldCharType="begin"/>
      </w:r>
      <w:r>
        <w:instrText xml:space="preserve"> XE "title-alt:N1C031:n-ShortHead" </w:instrText>
      </w:r>
      <w:r>
        <w:fldChar w:fldCharType="end"/>
      </w:r>
      <w:r>
        <w:t xml:space="preserve">First-tier Tribunal (Gambling) Fees </w:t>
      </w:r>
      <w:proofErr w:type="spellStart"/>
      <w:r>
        <w:t>Ord</w:t>
      </w:r>
      <w:proofErr w:type="spellEnd"/>
    </w:p>
    <w:p w:rsidR="000D0F66" w:rsidRDefault="000D0F66" w:rsidP="000D0F66">
      <w:pPr>
        <w:pStyle w:val="MADE"/>
      </w:pPr>
      <w:r>
        <w:fldChar w:fldCharType="begin"/>
      </w:r>
      <w:r>
        <w:instrText xml:space="preserve"> XE "made:N1C033:[MADE" </w:instrText>
      </w:r>
      <w:r>
        <w:fldChar w:fldCharType="end"/>
      </w:r>
      <w:r>
        <w:t xml:space="preserve">Made </w:t>
      </w:r>
      <w:r>
        <w:tab/>
        <w:t>10 January 2010</w:t>
      </w:r>
    </w:p>
    <w:p w:rsidR="000D0F66" w:rsidRDefault="000D0F66" w:rsidP="000D0F66">
      <w:pPr>
        <w:pStyle w:val="LAID"/>
      </w:pPr>
      <w:r>
        <w:fldChar w:fldCharType="begin"/>
      </w:r>
      <w:r>
        <w:instrText xml:space="preserve"> XE "laid:N1C039:[LAID" </w:instrText>
      </w:r>
      <w:r>
        <w:fldChar w:fldCharType="end"/>
      </w:r>
      <w:r>
        <w:t xml:space="preserve">Laid before Parliament </w:t>
      </w:r>
      <w:r>
        <w:tab/>
        <w:t>12 January 2010</w:t>
      </w:r>
    </w:p>
    <w:p w:rsidR="000D0F66" w:rsidRDefault="000D0F66" w:rsidP="000D0F66">
      <w:pPr>
        <w:pStyle w:val="OPER"/>
      </w:pPr>
      <w:r>
        <w:fldChar w:fldCharType="begin"/>
      </w:r>
      <w:r>
        <w:instrText xml:space="preserve"> XE "operation:N1C03F:[OPER" </w:instrText>
      </w:r>
      <w:r>
        <w:fldChar w:fldCharType="end"/>
      </w:r>
      <w:r>
        <w:t xml:space="preserve">Coming into force </w:t>
      </w:r>
      <w:r>
        <w:tab/>
        <w:t>18 January 2010</w:t>
      </w:r>
    </w:p>
    <w:p w:rsidR="000D0F66" w:rsidRDefault="000D0F66" w:rsidP="000D0F66">
      <w:pPr>
        <w:pStyle w:val="PREA"/>
      </w:pPr>
      <w:r>
        <w:fldChar w:fldCharType="begin"/>
      </w:r>
      <w:r>
        <w:instrText xml:space="preserve"> XE "preamble:N1C045:PREA" </w:instrText>
      </w:r>
      <w:r>
        <w:fldChar w:fldCharType="end"/>
      </w:r>
      <w:r>
        <w:t>[PREA</w:t>
      </w:r>
    </w:p>
    <w:p w:rsidR="000D0F66" w:rsidRDefault="000D0F66" w:rsidP="000D0F66">
      <w:pPr>
        <w:pStyle w:val="P1"/>
      </w:pPr>
      <w:r>
        <w:fldChar w:fldCharType="begin"/>
      </w:r>
      <w:r>
        <w:instrText xml:space="preserve"> XE "para1:N1C048:[P1" </w:instrText>
      </w:r>
      <w:r>
        <w:fldChar w:fldCharType="end"/>
      </w:r>
      <w:r>
        <w:t>The Lord Chancellor makes the following Order in exercise of the power conferred by section 42 of the Tribunals, Courts and Enforcement Act 2007.</w:t>
      </w:r>
    </w:p>
    <w:p w:rsidR="000D0F66" w:rsidRDefault="000D0F66" w:rsidP="000D0F66">
      <w:pPr>
        <w:pStyle w:val="P1"/>
      </w:pPr>
      <w:r>
        <w:fldChar w:fldCharType="begin"/>
      </w:r>
      <w:r>
        <w:instrText xml:space="preserve"> XE "para1:N1C04C:[P1" </w:instrText>
      </w:r>
      <w:r>
        <w:fldChar w:fldCharType="end"/>
      </w:r>
      <w:r>
        <w:t>In accordance with section 42(5) of that Act the Lord Chancellor has consulted the Senior President of Tribunals and the Administrative Justice and Tribunals Council.</w:t>
      </w:r>
    </w:p>
    <w:p w:rsidR="000D0F66" w:rsidRDefault="000D0F66" w:rsidP="000D0F66">
      <w:pPr>
        <w:pStyle w:val="MAIN"/>
      </w:pPr>
      <w:r>
        <w:fldChar w:fldCharType="begin"/>
      </w:r>
      <w:r>
        <w:instrText xml:space="preserve"> XE "main:N1C050:MAIN" </w:instrText>
      </w:r>
      <w:r>
        <w:fldChar w:fldCharType="end"/>
      </w:r>
      <w:r>
        <w:t>[MAIN</w:t>
      </w:r>
      <w:bookmarkStart w:id="0" w:name="_GoBack"/>
      <w:bookmarkEnd w:id="0"/>
    </w:p>
    <w:p w:rsidR="000D0F66" w:rsidRDefault="000D0F66" w:rsidP="000D0F66">
      <w:pPr>
        <w:pStyle w:val="PHDR"/>
      </w:pPr>
      <w:r>
        <w:fldChar w:fldCharType="begin"/>
      </w:r>
      <w:r>
        <w:instrText xml:space="preserve"> XE "provision:N1C053:[PHDR" </w:instrText>
      </w:r>
      <w:r>
        <w:fldChar w:fldCharType="end"/>
      </w:r>
      <w:r>
        <w:t>1</w:t>
      </w:r>
      <w:r>
        <w:tab/>
        <w:t>Citation and commencement</w:t>
      </w:r>
    </w:p>
    <w:p w:rsidR="000D0F66" w:rsidRDefault="000D0F66" w:rsidP="000D0F66">
      <w:pPr>
        <w:pStyle w:val="P1"/>
      </w:pPr>
      <w:r>
        <w:fldChar w:fldCharType="begin"/>
      </w:r>
      <w:r>
        <w:instrText xml:space="preserve"> XE "para1:N1C07A:[P1" </w:instrText>
      </w:r>
      <w:r>
        <w:fldChar w:fldCharType="end"/>
      </w:r>
      <w:r>
        <w:t>This Order may be cited as the First-tier Tribunal (Gambling) Fees Order 2010 and comes into force on 18 January 2010.</w:t>
      </w:r>
    </w:p>
    <w:p w:rsidR="000D0F66" w:rsidRDefault="000D0F66" w:rsidP="000D0F66">
      <w:pPr>
        <w:pStyle w:val="PHDR"/>
      </w:pPr>
      <w:r>
        <w:fldChar w:fldCharType="begin"/>
      </w:r>
      <w:r>
        <w:instrText xml:space="preserve"> XE "provision:N1C07E:[PHDR" </w:instrText>
      </w:r>
      <w:r>
        <w:fldChar w:fldCharType="end"/>
      </w:r>
      <w:r>
        <w:t>2</w:t>
      </w:r>
      <w:r>
        <w:tab/>
        <w:t>Fee for bringing an appeal under the Gambling Act 2005</w:t>
      </w:r>
    </w:p>
    <w:p w:rsidR="000D0F66" w:rsidRDefault="000D0F66" w:rsidP="000D0F66">
      <w:pPr>
        <w:pStyle w:val="P1"/>
      </w:pPr>
      <w:r>
        <w:fldChar w:fldCharType="begin"/>
      </w:r>
      <w:r>
        <w:instrText xml:space="preserve"> XE "para1:N1C0A5:[P1" </w:instrText>
      </w:r>
      <w:r>
        <w:fldChar w:fldCharType="end"/>
      </w:r>
      <w:r>
        <w:t>(1)</w:t>
      </w:r>
      <w:r>
        <w:tab/>
        <w:t>Subject to paragraph (2) and articles 3 and 4, the fees set out in column 2 of the table in the Schedule are payable in relation to an appeal to the First-tier Tribunal under the Gambling Act 2005 listed in column 1 of that table.</w:t>
      </w:r>
    </w:p>
    <w:p w:rsidR="000D0F66" w:rsidRDefault="000D0F66" w:rsidP="000D0F66">
      <w:pPr>
        <w:pStyle w:val="P1"/>
      </w:pPr>
      <w:r>
        <w:fldChar w:fldCharType="begin"/>
      </w:r>
      <w:r>
        <w:instrText xml:space="preserve"> XE "para1:N1C0AB:[P1" </w:instrText>
      </w:r>
      <w:r>
        <w:fldChar w:fldCharType="end"/>
      </w:r>
      <w:r>
        <w:t>(2)</w:t>
      </w:r>
      <w:r>
        <w:tab/>
        <w:t>Where an appeal relates to a combination of any of the licences listed in fees 1.1 to 1.12 of column 1 of the table in the Schedule, only one fee is payable, and if those fees are different, only the highest fee is payable.</w:t>
      </w:r>
    </w:p>
    <w:p w:rsidR="000D0F66" w:rsidRDefault="000D0F66" w:rsidP="000D0F66">
      <w:pPr>
        <w:pStyle w:val="PHDR"/>
      </w:pPr>
      <w:r>
        <w:fldChar w:fldCharType="begin"/>
      </w:r>
      <w:r>
        <w:instrText xml:space="preserve"> XE "provision:N1C0B1:[PHDR" </w:instrText>
      </w:r>
      <w:r>
        <w:fldChar w:fldCharType="end"/>
      </w:r>
      <w:r>
        <w:t>3</w:t>
      </w:r>
      <w:r>
        <w:tab/>
        <w:t>Exemption from fees</w:t>
      </w:r>
    </w:p>
    <w:p w:rsidR="000D0F66" w:rsidRDefault="000D0F66" w:rsidP="000D0F66">
      <w:pPr>
        <w:pStyle w:val="P1"/>
      </w:pPr>
      <w:r>
        <w:fldChar w:fldCharType="begin"/>
      </w:r>
      <w:r>
        <w:instrText xml:space="preserve"> XE "para1:N1C0D8:[P1" </w:instrText>
      </w:r>
      <w:r>
        <w:fldChar w:fldCharType="end"/>
      </w:r>
      <w:r>
        <w:t>(1)</w:t>
      </w:r>
      <w:r>
        <w:tab/>
        <w:t>No fee is payable under this Order by a person bringing an appeal (“an appellant”) who, at the time that the fee would otherwise become payable, is in receipt of any qualifying benefit.</w:t>
      </w:r>
    </w:p>
    <w:p w:rsidR="000D0F66" w:rsidRDefault="000D0F66" w:rsidP="000D0F66">
      <w:pPr>
        <w:pStyle w:val="P1"/>
      </w:pPr>
      <w:r>
        <w:fldChar w:fldCharType="begin"/>
      </w:r>
      <w:r>
        <w:instrText xml:space="preserve"> XE "para1:N1C0DE:[P1" </w:instrText>
      </w:r>
      <w:r>
        <w:fldChar w:fldCharType="end"/>
      </w:r>
      <w:r>
        <w:t>(2)</w:t>
      </w:r>
      <w:r>
        <w:tab/>
        <w:t>The following are qualifying benefits for the purpose of paragraph (1)—</w:t>
      </w:r>
    </w:p>
    <w:p w:rsidR="000D0F66" w:rsidRDefault="000D0F66" w:rsidP="000D0F66">
      <w:pPr>
        <w:pStyle w:val="P2"/>
      </w:pPr>
      <w:r>
        <w:fldChar w:fldCharType="begin"/>
      </w:r>
      <w:r>
        <w:instrText xml:space="preserve"> XE "para2:N1C0E4:[P2" </w:instrText>
      </w:r>
      <w:r>
        <w:fldChar w:fldCharType="end"/>
      </w:r>
      <w:r>
        <w:t>(</w:t>
      </w:r>
      <w:r>
        <w:rPr>
          <w:i/>
          <w:iCs/>
        </w:rPr>
        <w:t>a</w:t>
      </w:r>
      <w:r>
        <w:t>)</w:t>
      </w:r>
      <w:r>
        <w:tab/>
      </w:r>
      <w:proofErr w:type="gramStart"/>
      <w:r>
        <w:t>income</w:t>
      </w:r>
      <w:proofErr w:type="gramEnd"/>
      <w:r>
        <w:t xml:space="preserve"> support under the Social Security Contributions and Benefits Act 1992;</w:t>
      </w:r>
    </w:p>
    <w:p w:rsidR="000D0F66" w:rsidRDefault="000D0F66" w:rsidP="000D0F66">
      <w:pPr>
        <w:pStyle w:val="P2"/>
      </w:pPr>
      <w:r>
        <w:fldChar w:fldCharType="begin"/>
      </w:r>
      <w:r>
        <w:instrText xml:space="preserve"> XE "para2:N1C0EE:[P2" </w:instrText>
      </w:r>
      <w:r>
        <w:fldChar w:fldCharType="end"/>
      </w:r>
      <w:r>
        <w:t>(</w:t>
      </w:r>
      <w:r>
        <w:rPr>
          <w:i/>
          <w:iCs/>
        </w:rPr>
        <w:t>b</w:t>
      </w:r>
      <w:r>
        <w:t>)</w:t>
      </w:r>
      <w:r>
        <w:tab/>
      </w:r>
      <w:proofErr w:type="gramStart"/>
      <w:r>
        <w:t>working</w:t>
      </w:r>
      <w:proofErr w:type="gramEnd"/>
      <w:r>
        <w:t xml:space="preserve"> tax credit under the Tax Credits Act 2002, provided that—</w:t>
      </w:r>
    </w:p>
    <w:p w:rsidR="000D0F66" w:rsidRDefault="000D0F66" w:rsidP="000D0F66">
      <w:pPr>
        <w:pStyle w:val="P3"/>
      </w:pPr>
      <w:r>
        <w:fldChar w:fldCharType="begin"/>
      </w:r>
      <w:r>
        <w:instrText xml:space="preserve"> XE "para3:N1C0F8:[P3" </w:instrText>
      </w:r>
      <w:r>
        <w:fldChar w:fldCharType="end"/>
      </w:r>
      <w:r>
        <w:t>(</w:t>
      </w:r>
      <w:proofErr w:type="spellStart"/>
      <w:r>
        <w:t>i</w:t>
      </w:r>
      <w:proofErr w:type="spellEnd"/>
      <w:r>
        <w:t>)</w:t>
      </w:r>
      <w:r>
        <w:tab/>
        <w:t>child tax credit is being paid to the appellant, or otherwise following a claim made jointly by the appellant and another person as a couple under section 3(3) of that Act; or</w:t>
      </w:r>
    </w:p>
    <w:p w:rsidR="000D0F66" w:rsidRDefault="000D0F66" w:rsidP="000D0F66">
      <w:pPr>
        <w:pStyle w:val="P3"/>
      </w:pPr>
      <w:r>
        <w:fldChar w:fldCharType="begin"/>
      </w:r>
      <w:r>
        <w:instrText xml:space="preserve"> XE "para3:N1C0FE:[P3" </w:instrText>
      </w:r>
      <w:r>
        <w:fldChar w:fldCharType="end"/>
      </w:r>
      <w:r>
        <w:t>(ii)</w:t>
      </w:r>
      <w:r>
        <w:tab/>
      </w:r>
      <w:proofErr w:type="gramStart"/>
      <w:r>
        <w:t>there</w:t>
      </w:r>
      <w:proofErr w:type="gramEnd"/>
      <w:r>
        <w:t xml:space="preserve"> is a disability element or severe disability element (or both) to the tax credit received by the appellant,</w:t>
      </w:r>
    </w:p>
    <w:p w:rsidR="000D0F66" w:rsidRDefault="000D0F66" w:rsidP="000D0F66">
      <w:pPr>
        <w:pStyle w:val="C2"/>
      </w:pPr>
      <w:r>
        <w:fldChar w:fldCharType="begin"/>
      </w:r>
      <w:r>
        <w:instrText xml:space="preserve"> XE "para-continued2:N1C104:[C2" </w:instrText>
      </w:r>
      <w:r>
        <w:fldChar w:fldCharType="end"/>
      </w:r>
      <w:proofErr w:type="gramStart"/>
      <w:r>
        <w:t>and</w:t>
      </w:r>
      <w:proofErr w:type="gramEnd"/>
      <w:r>
        <w:t xml:space="preserve"> the gross annual income taken into account for the calculation of the working tax credit is £17,474 or less;</w:t>
      </w:r>
    </w:p>
    <w:p w:rsidR="000D0F66" w:rsidRDefault="000D0F66" w:rsidP="000D0F66">
      <w:pPr>
        <w:pStyle w:val="P2"/>
      </w:pPr>
      <w:r>
        <w:fldChar w:fldCharType="begin"/>
      </w:r>
      <w:r>
        <w:instrText xml:space="preserve"> XE "para2:N1C108:[P2" </w:instrText>
      </w:r>
      <w:r>
        <w:fldChar w:fldCharType="end"/>
      </w:r>
      <w:r>
        <w:t>(</w:t>
      </w:r>
      <w:r>
        <w:rPr>
          <w:i/>
          <w:iCs/>
        </w:rPr>
        <w:t>c</w:t>
      </w:r>
      <w:r>
        <w:t>)</w:t>
      </w:r>
      <w:r>
        <w:tab/>
        <w:t>income-based jobseeker's allowance under the Jobseekers Act 1995;</w:t>
      </w:r>
    </w:p>
    <w:p w:rsidR="000D0F66" w:rsidRDefault="000D0F66" w:rsidP="000D0F66">
      <w:pPr>
        <w:pStyle w:val="P2"/>
      </w:pPr>
      <w:r>
        <w:lastRenderedPageBreak/>
        <w:fldChar w:fldCharType="begin"/>
      </w:r>
      <w:r>
        <w:instrText xml:space="preserve"> XE "para2:N1C112:[P2" </w:instrText>
      </w:r>
      <w:r>
        <w:fldChar w:fldCharType="end"/>
      </w:r>
      <w:r>
        <w:t>(</w:t>
      </w:r>
      <w:r>
        <w:rPr>
          <w:i/>
          <w:iCs/>
        </w:rPr>
        <w:t>d</w:t>
      </w:r>
      <w:r>
        <w:t>)</w:t>
      </w:r>
      <w:r>
        <w:tab/>
      </w:r>
      <w:proofErr w:type="gramStart"/>
      <w:r>
        <w:t>guarantee</w:t>
      </w:r>
      <w:proofErr w:type="gramEnd"/>
      <w:r>
        <w:t xml:space="preserve"> credit under the State Pension Credit Act 2002;</w:t>
      </w:r>
    </w:p>
    <w:p w:rsidR="000D0F66" w:rsidRDefault="000D0F66" w:rsidP="000D0F66">
      <w:pPr>
        <w:pStyle w:val="P2"/>
      </w:pPr>
      <w:r>
        <w:fldChar w:fldCharType="begin"/>
      </w:r>
      <w:r>
        <w:instrText xml:space="preserve"> XE "para2:N1C11C:[P2" </w:instrText>
      </w:r>
      <w:r>
        <w:fldChar w:fldCharType="end"/>
      </w:r>
      <w:r>
        <w:t>(</w:t>
      </w:r>
      <w:r>
        <w:rPr>
          <w:i/>
          <w:iCs/>
        </w:rPr>
        <w:t>e</w:t>
      </w:r>
      <w:r>
        <w:t>)</w:t>
      </w:r>
      <w:r>
        <w:tab/>
        <w:t>income-related employment and support allowance payable under Part 1 of the Welfare Reform Act 2007.</w:t>
      </w:r>
    </w:p>
    <w:p w:rsidR="000D0F66" w:rsidRDefault="000D0F66" w:rsidP="000D0F66">
      <w:pPr>
        <w:pStyle w:val="PHDR"/>
      </w:pPr>
      <w:r>
        <w:fldChar w:fldCharType="begin"/>
      </w:r>
      <w:r>
        <w:instrText xml:space="preserve"> XE "provision:N1C126:[PHDR" </w:instrText>
      </w:r>
      <w:r>
        <w:fldChar w:fldCharType="end"/>
      </w:r>
      <w:r>
        <w:t>4</w:t>
      </w:r>
      <w:r>
        <w:tab/>
        <w:t>Reduction and remission of fees</w:t>
      </w:r>
    </w:p>
    <w:p w:rsidR="000D0F66" w:rsidRDefault="000D0F66" w:rsidP="000D0F66">
      <w:pPr>
        <w:pStyle w:val="P1"/>
      </w:pPr>
      <w:r>
        <w:fldChar w:fldCharType="begin"/>
      </w:r>
      <w:r>
        <w:instrText xml:space="preserve"> XE "para1:N1C14D:[P1" </w:instrText>
      </w:r>
      <w:r>
        <w:fldChar w:fldCharType="end"/>
      </w:r>
      <w:r>
        <w:t>Where the payment of any fee prescribed by this Order would, owing to the exceptional circumstances of the particular case, involve undue financial hardship to the appellant, the Lord Chancellor may reduce or remit the fee.</w:t>
      </w:r>
    </w:p>
    <w:p w:rsidR="000D0F66" w:rsidRDefault="000D0F66" w:rsidP="000D0F66">
      <w:pPr>
        <w:pStyle w:val="PHDR"/>
      </w:pPr>
      <w:r>
        <w:fldChar w:fldCharType="begin"/>
      </w:r>
      <w:r>
        <w:instrText xml:space="preserve"> XE "provision:N1C151:[PHDR" </w:instrText>
      </w:r>
      <w:r>
        <w:fldChar w:fldCharType="end"/>
      </w:r>
      <w:r>
        <w:t>5</w:t>
      </w:r>
      <w:r>
        <w:tab/>
        <w:t>Refunds</w:t>
      </w:r>
    </w:p>
    <w:p w:rsidR="000D0F66" w:rsidRDefault="000D0F66" w:rsidP="000D0F66">
      <w:pPr>
        <w:pStyle w:val="P1"/>
      </w:pPr>
      <w:r>
        <w:fldChar w:fldCharType="begin"/>
      </w:r>
      <w:r>
        <w:instrText xml:space="preserve"> XE "para1:N1C178:[P1" </w:instrText>
      </w:r>
      <w:r>
        <w:fldChar w:fldCharType="end"/>
      </w:r>
      <w:r>
        <w:t>(1)</w:t>
      </w:r>
      <w:r>
        <w:tab/>
        <w:t>Subject to paragraph (2), where a fee has been paid at a time—</w:t>
      </w:r>
    </w:p>
    <w:p w:rsidR="000D0F66" w:rsidRDefault="000D0F66" w:rsidP="000D0F66">
      <w:pPr>
        <w:pStyle w:val="P2"/>
      </w:pPr>
      <w:r>
        <w:fldChar w:fldCharType="begin"/>
      </w:r>
      <w:r>
        <w:instrText xml:space="preserve"> XE "para2:N1C17E:[P2" </w:instrText>
      </w:r>
      <w:r>
        <w:fldChar w:fldCharType="end"/>
      </w:r>
      <w:r>
        <w:t>(</w:t>
      </w:r>
      <w:r>
        <w:rPr>
          <w:i/>
          <w:iCs/>
        </w:rPr>
        <w:t>a</w:t>
      </w:r>
      <w:r>
        <w:t>)</w:t>
      </w:r>
      <w:r>
        <w:tab/>
      </w:r>
      <w:proofErr w:type="gramStart"/>
      <w:r>
        <w:t>when</w:t>
      </w:r>
      <w:proofErr w:type="gramEnd"/>
      <w:r>
        <w:t>, under article 3, it was not payable, the fee will be refunded;</w:t>
      </w:r>
    </w:p>
    <w:p w:rsidR="000D0F66" w:rsidRDefault="000D0F66" w:rsidP="000D0F66">
      <w:pPr>
        <w:pStyle w:val="P2"/>
      </w:pPr>
      <w:r>
        <w:fldChar w:fldCharType="begin"/>
      </w:r>
      <w:r>
        <w:instrText xml:space="preserve"> XE "para2:N1C188:[P2" </w:instrText>
      </w:r>
      <w:r>
        <w:fldChar w:fldCharType="end"/>
      </w:r>
      <w:r>
        <w:t>(</w:t>
      </w:r>
      <w:r>
        <w:rPr>
          <w:i/>
          <w:iCs/>
        </w:rPr>
        <w:t>b</w:t>
      </w:r>
      <w:r>
        <w:t>)</w:t>
      </w:r>
      <w:r>
        <w:tab/>
      </w:r>
      <w:proofErr w:type="gramStart"/>
      <w:r>
        <w:t>when</w:t>
      </w:r>
      <w:proofErr w:type="gramEnd"/>
      <w:r>
        <w:t xml:space="preserve"> the Lord Chancellor, if all the circumstances had been known, would have reduced the fee under article 4, the amount by which the fee would have been reduced will be refunded;</w:t>
      </w:r>
    </w:p>
    <w:p w:rsidR="000D0F66" w:rsidRDefault="000D0F66" w:rsidP="000D0F66">
      <w:pPr>
        <w:pStyle w:val="P2"/>
      </w:pPr>
      <w:r>
        <w:fldChar w:fldCharType="begin"/>
      </w:r>
      <w:r>
        <w:instrText xml:space="preserve"> XE "para2:N1C192:[P2" </w:instrText>
      </w:r>
      <w:r>
        <w:fldChar w:fldCharType="end"/>
      </w:r>
      <w:r>
        <w:t>(</w:t>
      </w:r>
      <w:r>
        <w:rPr>
          <w:i/>
          <w:iCs/>
        </w:rPr>
        <w:t>c</w:t>
      </w:r>
      <w:r>
        <w:t>)</w:t>
      </w:r>
      <w:r>
        <w:tab/>
      </w:r>
      <w:proofErr w:type="gramStart"/>
      <w:r>
        <w:t>when</w:t>
      </w:r>
      <w:proofErr w:type="gramEnd"/>
      <w:r>
        <w:t xml:space="preserve"> the Lord Chancellor, if all the circumstances had been known, would have remitted the fee under article 4, the fee will be refunded.</w:t>
      </w:r>
    </w:p>
    <w:p w:rsidR="000D0F66" w:rsidRDefault="000D0F66" w:rsidP="000D0F66">
      <w:pPr>
        <w:pStyle w:val="P1"/>
      </w:pPr>
      <w:r>
        <w:fldChar w:fldCharType="begin"/>
      </w:r>
      <w:r>
        <w:instrText xml:space="preserve"> XE "para1:N1C19C:[P1" </w:instrText>
      </w:r>
      <w:r>
        <w:fldChar w:fldCharType="end"/>
      </w:r>
      <w:r>
        <w:t>(2)</w:t>
      </w:r>
      <w:r>
        <w:tab/>
        <w:t>No refund shall be made under paragraph (1) unless the appellant applies in writing within 6 months of paying the fee.</w:t>
      </w:r>
    </w:p>
    <w:p w:rsidR="000D0F66" w:rsidRDefault="000D0F66" w:rsidP="000D0F66">
      <w:pPr>
        <w:pStyle w:val="P1"/>
      </w:pPr>
      <w:r>
        <w:fldChar w:fldCharType="begin"/>
      </w:r>
      <w:r>
        <w:instrText xml:space="preserve"> XE "para1:N1C1A2:[P1" </w:instrText>
      </w:r>
      <w:r>
        <w:fldChar w:fldCharType="end"/>
      </w:r>
      <w:r>
        <w:t>(3)</w:t>
      </w:r>
      <w:r>
        <w:tab/>
        <w:t>The Lord Chancellor may extend the period of 6 months referred to in paragraph (2) if the Lord Chancellor considers that there is good reason for an application being made after the end of the period of 6 months.</w:t>
      </w:r>
    </w:p>
    <w:p w:rsidR="000D0F66" w:rsidRDefault="000D0F66" w:rsidP="000D0F66">
      <w:pPr>
        <w:pStyle w:val="SCHD"/>
      </w:pPr>
      <w:r>
        <w:fldChar w:fldCharType="begin"/>
      </w:r>
      <w:r>
        <w:instrText xml:space="preserve"> XE "schedule-grp:N1C1A8:[BLKH" </w:instrText>
      </w:r>
      <w:r>
        <w:fldChar w:fldCharType="end"/>
      </w:r>
      <w:r>
        <w:t>[SCHD</w:t>
      </w:r>
    </w:p>
    <w:p w:rsidR="000D0F66" w:rsidRDefault="000D0F66" w:rsidP="000D0F66">
      <w:pPr>
        <w:pStyle w:val="SC"/>
      </w:pPr>
      <w:r>
        <w:fldChar w:fldCharType="begin"/>
      </w:r>
      <w:r>
        <w:instrText xml:space="preserve"> XE "title:N1C1C8:[SC" </w:instrText>
      </w:r>
      <w:r>
        <w:fldChar w:fldCharType="end"/>
      </w:r>
      <w:r>
        <w:t>[SCHEDULE</w:t>
      </w:r>
      <w:r>
        <w:br/>
        <w:t xml:space="preserve">Fees to be </w:t>
      </w:r>
      <w:proofErr w:type="gramStart"/>
      <w:r>
        <w:t>Taken</w:t>
      </w:r>
      <w:proofErr w:type="gramEnd"/>
    </w:p>
    <w:p w:rsidR="000D0F66" w:rsidRDefault="000D0F66" w:rsidP="000D0F66">
      <w:pPr>
        <w:pStyle w:val="SCEN"/>
      </w:pPr>
      <w:r>
        <w:fldChar w:fldCharType="begin"/>
      </w:r>
      <w:r>
        <w:instrText xml:space="preserve"> XE "enabling-legislation:N1C1CB:[SCEN" </w:instrText>
      </w:r>
      <w:r>
        <w:fldChar w:fldCharType="end"/>
      </w:r>
      <w:r>
        <w:t>Article 2</w:t>
      </w:r>
    </w:p>
    <w:p w:rsidR="000D0F66" w:rsidRDefault="000D0F66" w:rsidP="000D0F66">
      <w:pPr>
        <w:pStyle w:val="FTB"/>
      </w:pPr>
      <w:r>
        <w:fldChar w:fldCharType="begin"/>
      </w:r>
      <w:r>
        <w:instrText xml:space="preserve"> XE "table:N1C1CF:FTB" </w:instrText>
      </w:r>
      <w:r>
        <w:fldChar w:fldCharType="end"/>
      </w:r>
      <w:r>
        <w:t>[FTB</w:t>
      </w:r>
    </w:p>
    <w:p w:rsidR="000D0F66" w:rsidRDefault="000D0F66" w:rsidP="000D0F66">
      <w:pPr>
        <w:pStyle w:val="TableB"/>
      </w:pPr>
      <w:r>
        <w:fldChar w:fldCharType="begin"/>
      </w:r>
      <w:r>
        <w:instrText xml:space="preserve"> XE "table:N1C1CF:TableE" </w:instrText>
      </w:r>
      <w:r>
        <w:fldChar w:fldCharType="end"/>
      </w:r>
      <w:r>
        <w:t>#</w:t>
      </w:r>
      <w:proofErr w:type="spellStart"/>
      <w:r>
        <w:t>TableB</w:t>
      </w:r>
      <w:proofErr w:type="spellEnd"/>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91"/>
        <w:gridCol w:w="853"/>
        <w:gridCol w:w="860"/>
      </w:tblGrid>
      <w:tr w:rsidR="000D0F66" w:rsidTr="00C96ED3">
        <w:trPr>
          <w:tblHeader/>
          <w:tblCellSpacing w:w="7" w:type="dxa"/>
        </w:trPr>
        <w:tc>
          <w:tcPr>
            <w:tcW w:w="0" w:type="auto"/>
            <w:tcBorders>
              <w:bottom w:val="single" w:sz="4" w:space="0" w:color="auto"/>
              <w:right w:val="single" w:sz="4" w:space="0" w:color="auto"/>
            </w:tcBorders>
            <w:hideMark/>
          </w:tcPr>
          <w:p w:rsidR="000D0F66" w:rsidRDefault="000D0F66" w:rsidP="00C96ED3">
            <w:pPr>
              <w:pStyle w:val="Table"/>
            </w:pPr>
            <w:r>
              <w:fldChar w:fldCharType="begin"/>
            </w:r>
            <w:r>
              <w:instrText xml:space="preserve"> XE "entry:N1C1EA:Table" </w:instrText>
            </w:r>
            <w:r>
              <w:fldChar w:fldCharType="end"/>
            </w:r>
            <w:r>
              <w:fldChar w:fldCharType="begin"/>
            </w:r>
            <w:r>
              <w:instrText xml:space="preserve"> XE "para:N1C1EF:Table" </w:instrText>
            </w:r>
            <w:r>
              <w:fldChar w:fldCharType="end"/>
            </w:r>
            <w:r>
              <w:rPr>
                <w:i/>
                <w:iCs/>
              </w:rPr>
              <w:t>Appeal</w:t>
            </w:r>
            <w:r>
              <w:t xml:space="preserve"> </w:t>
            </w:r>
          </w:p>
        </w:tc>
        <w:tc>
          <w:tcPr>
            <w:tcW w:w="0" w:type="auto"/>
            <w:tcBorders>
              <w:bottom w:val="single" w:sz="4" w:space="0" w:color="auto"/>
              <w:right w:val="single" w:sz="4" w:space="0" w:color="auto"/>
            </w:tcBorders>
            <w:hideMark/>
          </w:tcPr>
          <w:p w:rsidR="000D0F66" w:rsidRDefault="000D0F66" w:rsidP="00C96ED3">
            <w:pPr>
              <w:pStyle w:val="Table"/>
            </w:pPr>
            <w:r>
              <w:fldChar w:fldCharType="begin"/>
            </w:r>
            <w:r>
              <w:instrText xml:space="preserve"> XE "entry:N1C1F3:Table" </w:instrText>
            </w:r>
            <w:r>
              <w:fldChar w:fldCharType="end"/>
            </w:r>
            <w:r>
              <w:fldChar w:fldCharType="begin"/>
            </w:r>
            <w:r>
              <w:instrText xml:space="preserve"> XE "para:N1C1F8:Table" </w:instrText>
            </w:r>
            <w:r>
              <w:fldChar w:fldCharType="end"/>
            </w:r>
            <w:r>
              <w:rPr>
                <w:i/>
                <w:iCs/>
              </w:rPr>
              <w:t>Column A</w:t>
            </w:r>
            <w:r>
              <w:t xml:space="preserve"> </w:t>
            </w:r>
          </w:p>
        </w:tc>
        <w:tc>
          <w:tcPr>
            <w:tcW w:w="0" w:type="auto"/>
            <w:tcBorders>
              <w:bottom w:val="single" w:sz="4" w:space="0" w:color="auto"/>
            </w:tcBorders>
            <w:hideMark/>
          </w:tcPr>
          <w:p w:rsidR="000D0F66" w:rsidRDefault="000D0F66" w:rsidP="00C96ED3">
            <w:pPr>
              <w:pStyle w:val="Table"/>
            </w:pPr>
            <w:r>
              <w:fldChar w:fldCharType="begin"/>
            </w:r>
            <w:r>
              <w:instrText xml:space="preserve"> XE "entry:N1C1FC:Table" </w:instrText>
            </w:r>
            <w:r>
              <w:fldChar w:fldCharType="end"/>
            </w:r>
            <w:r>
              <w:fldChar w:fldCharType="begin"/>
            </w:r>
            <w:r>
              <w:instrText xml:space="preserve"> XE "para:N1C201:Table" </w:instrText>
            </w:r>
            <w:r>
              <w:fldChar w:fldCharType="end"/>
            </w:r>
            <w:r>
              <w:rPr>
                <w:i/>
                <w:iCs/>
              </w:rPr>
              <w:t>Column B</w:t>
            </w:r>
            <w:r>
              <w:t xml:space="preserve"> </w:t>
            </w:r>
          </w:p>
        </w:tc>
      </w:tr>
      <w:tr w:rsidR="000D0F66" w:rsidTr="00C96ED3">
        <w:trPr>
          <w:tblHeader/>
          <w:tblCellSpacing w:w="7" w:type="dxa"/>
        </w:trPr>
        <w:tc>
          <w:tcPr>
            <w:tcW w:w="0" w:type="auto"/>
            <w:tcBorders>
              <w:right w:val="single" w:sz="4" w:space="0" w:color="auto"/>
            </w:tcBorders>
            <w:hideMark/>
          </w:tcPr>
          <w:p w:rsidR="000D0F66" w:rsidRDefault="000D0F66" w:rsidP="00C96ED3">
            <w:pPr>
              <w:pStyle w:val="Table"/>
            </w:pPr>
            <w:r>
              <w:fldChar w:fldCharType="begin"/>
            </w:r>
            <w:r>
              <w:instrText xml:space="preserve"> XE "entry:N1C206:Table" </w:instrText>
            </w:r>
            <w:r>
              <w:fldChar w:fldCharType="end"/>
            </w:r>
          </w:p>
        </w:tc>
        <w:tc>
          <w:tcPr>
            <w:tcW w:w="0" w:type="auto"/>
            <w:tcBorders>
              <w:right w:val="single" w:sz="4" w:space="0" w:color="auto"/>
            </w:tcBorders>
            <w:hideMark/>
          </w:tcPr>
          <w:p w:rsidR="000D0F66" w:rsidRDefault="000D0F66" w:rsidP="00C96ED3">
            <w:pPr>
              <w:pStyle w:val="Table"/>
            </w:pPr>
            <w:r>
              <w:fldChar w:fldCharType="begin"/>
            </w:r>
            <w:r>
              <w:instrText xml:space="preserve"> XE "entry:N1C20B:Table" </w:instrText>
            </w:r>
            <w:r>
              <w:fldChar w:fldCharType="end"/>
            </w:r>
            <w:r>
              <w:fldChar w:fldCharType="begin"/>
            </w:r>
            <w:r>
              <w:instrText xml:space="preserve"> XE "para:N1C210:Table" </w:instrText>
            </w:r>
            <w:r>
              <w:fldChar w:fldCharType="end"/>
            </w:r>
            <w:r>
              <w:rPr>
                <w:i/>
                <w:iCs/>
              </w:rPr>
              <w:t>New fee</w:t>
            </w:r>
            <w:r>
              <w:t xml:space="preserve"> </w:t>
            </w:r>
          </w:p>
        </w:tc>
        <w:tc>
          <w:tcPr>
            <w:tcW w:w="0" w:type="auto"/>
            <w:hideMark/>
          </w:tcPr>
          <w:p w:rsidR="000D0F66" w:rsidRDefault="000D0F66" w:rsidP="00C96ED3">
            <w:pPr>
              <w:pStyle w:val="Table"/>
            </w:pPr>
            <w:r>
              <w:fldChar w:fldCharType="begin"/>
            </w:r>
            <w:r>
              <w:instrText xml:space="preserve"> XE "entry:N1C214:Table" </w:instrText>
            </w:r>
            <w:r>
              <w:fldChar w:fldCharType="end"/>
            </w:r>
            <w:r>
              <w:fldChar w:fldCharType="begin"/>
            </w:r>
            <w:r>
              <w:instrText xml:space="preserve"> XE "para:N1C219:Table" </w:instrText>
            </w:r>
            <w:r>
              <w:fldChar w:fldCharType="end"/>
            </w:r>
            <w:r>
              <w:rPr>
                <w:i/>
                <w:iCs/>
              </w:rPr>
              <w:t>Old fee</w:t>
            </w:r>
            <w:r>
              <w:t xml:space="preserve"> </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"entry:N1C220:Table" </w:instrText>
            </w:r>
            <w:r>
              <w:fldChar w:fldCharType="end"/>
            </w:r>
            <w:r>
              <w:fldChar w:fldCharType="begin"/>
            </w:r>
            <w:r>
              <w:instrText xml:space="preserve"> XE "para:N1C225:Table" </w:instrText>
            </w:r>
            <w:r>
              <w:fldChar w:fldCharType="end"/>
            </w:r>
            <w:r>
              <w:t>1 On filing an appeal under section 141 of the Gambling Act 2005 in relation to—</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"entry:N1C227:Table" </w:instrText>
            </w:r>
            <w:r>
              <w:fldChar w:fldCharType="end"/>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"entry:N1C22D:Table" </w:instrText>
            </w:r>
            <w:r>
              <w:fldChar w:fldCharType="end"/>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"entry:N1C233:Table" </w:instrText>
            </w:r>
            <w:r>
              <w:fldChar w:fldCharType="end"/>
            </w:r>
            <w:r>
              <w:fldChar w:fldCharType="begin"/>
            </w:r>
            <w:r>
              <w:instrText xml:space="preserve"> XE "para:N1C238:Table" </w:instrText>
            </w:r>
            <w:r>
              <w:fldChar w:fldCharType="end"/>
            </w:r>
            <w:r>
              <w:t>1.1 a casino operating licence referred to in section 65(2)(</w:t>
            </w:r>
            <w:r>
              <w:rPr>
                <w:i/>
                <w:iCs/>
              </w:rPr>
              <w:t>a</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"entry:N1C23E:Table" </w:instrText>
            </w:r>
            <w:r>
              <w:fldChar w:fldCharType="end"/>
            </w:r>
            <w:r>
              <w:fldChar w:fldCharType="begin"/>
            </w:r>
            <w:r>
              <w:instrText xml:space="preserve"> XE "para:N1C244:Table" </w:instrText>
            </w:r>
            <w:r>
              <w:fldChar w:fldCharType="end"/>
            </w:r>
            <w:r>
              <w:t>£14,000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"entry:N1C246:Table" </w:instrText>
            </w:r>
            <w:r>
              <w:fldChar w:fldCharType="end"/>
            </w:r>
            <w:r>
              <w:fldChar w:fldCharType="begin"/>
            </w:r>
            <w:r>
              <w:instrText xml:space="preserve"> XE "para:N1C24A:Table" </w:instrText>
            </w:r>
            <w:r>
              <w:fldChar w:fldCharType="end"/>
            </w:r>
            <w:r>
              <w:t>£13,070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"entry:N1C24E:Table" </w:instrText>
            </w:r>
            <w:r>
              <w:fldChar w:fldCharType="end"/>
            </w:r>
            <w:r>
              <w:fldChar w:fldCharType="begin"/>
            </w:r>
            <w:r>
              <w:instrText xml:space="preserve"> XE "para:N1C253:Table" </w:instrText>
            </w:r>
            <w:r>
              <w:fldChar w:fldCharType="end"/>
            </w:r>
            <w:r>
              <w:t>1.2 a bingo operating licence referred to in section 65(2)(</w:t>
            </w:r>
            <w:r>
              <w:rPr>
                <w:i/>
                <w:iCs/>
              </w:rPr>
              <w:t>b</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"entry:N1C259:Table" </w:instrText>
            </w:r>
            <w:r>
              <w:fldChar w:fldCharType="end"/>
            </w:r>
            <w:r>
              <w:fldChar w:fldCharType="begin"/>
            </w:r>
            <w:r>
              <w:instrText xml:space="preserve"> XE "para:N1C25F:Table" </w:instrText>
            </w:r>
            <w:r>
              <w:fldChar w:fldCharType="end"/>
            </w:r>
            <w:r>
              <w:t>£3,100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"entry:N1C261:Table" </w:instrText>
            </w:r>
            <w:r>
              <w:fldChar w:fldCharType="end"/>
            </w:r>
            <w:r>
              <w:fldChar w:fldCharType="begin"/>
            </w:r>
            <w:r>
              <w:instrText xml:space="preserve"> XE "para:N1C265:Table" </w:instrText>
            </w:r>
            <w:r>
              <w:fldChar w:fldCharType="end"/>
            </w:r>
            <w:r>
              <w:t>£2,905</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"entry:N1C269:Table" </w:instrText>
            </w:r>
            <w:r>
              <w:fldChar w:fldCharType="end"/>
            </w:r>
            <w:r>
              <w:fldChar w:fldCharType="begin"/>
            </w:r>
            <w:r>
              <w:instrText xml:space="preserve"> XE "para:N1C26E:Table" </w:instrText>
            </w:r>
            <w:r>
              <w:fldChar w:fldCharType="end"/>
            </w:r>
            <w:r>
              <w:t>1.3 a general betting operating licence referred to in section 65(2)(</w:t>
            </w:r>
            <w:r>
              <w:rPr>
                <w:i/>
                <w:iCs/>
              </w:rPr>
              <w:t>c</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"entry:N1C274:Table" </w:instrText>
            </w:r>
            <w:r>
              <w:fldChar w:fldCharType="end"/>
            </w:r>
            <w:r>
              <w:fldChar w:fldCharType="begin"/>
            </w:r>
            <w:r>
              <w:instrText xml:space="preserve"> XE "para:N1C27A:Table" </w:instrText>
            </w:r>
            <w:r>
              <w:fldChar w:fldCharType="end"/>
            </w:r>
            <w:r>
              <w:t>£10,000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"entry:N1C27C:Table" </w:instrText>
            </w:r>
            <w:r>
              <w:fldChar w:fldCharType="end"/>
            </w:r>
            <w:r>
              <w:fldChar w:fldCharType="begin"/>
            </w:r>
            <w:r>
              <w:instrText xml:space="preserve"> XE "para:N1C280:Table" </w:instrText>
            </w:r>
            <w:r>
              <w:fldChar w:fldCharType="end"/>
            </w:r>
            <w:r>
              <w:t>£9,335</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"entry:N1C284:Table" </w:instrText>
            </w:r>
            <w:r>
              <w:fldChar w:fldCharType="end"/>
            </w:r>
            <w:r>
              <w:fldChar w:fldCharType="begin"/>
            </w:r>
            <w:r>
              <w:instrText xml:space="preserve"> XE "para:N1C289:Table" </w:instrText>
            </w:r>
            <w:r>
              <w:fldChar w:fldCharType="end"/>
            </w:r>
            <w:r>
              <w:t>1.4 a pool betting operating licence referred to in section 65(2)(</w:t>
            </w:r>
            <w:r>
              <w:rPr>
                <w:i/>
                <w:iCs/>
              </w:rPr>
              <w:t>d</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"entry:N1C28F:Table" </w:instrText>
            </w:r>
            <w:r>
              <w:fldChar w:fldCharType="end"/>
            </w:r>
            <w:r>
              <w:fldChar w:fldCharType="begin"/>
            </w:r>
            <w:r>
              <w:instrText xml:space="preserve"> XE "para:N1C295:Table" </w:instrText>
            </w:r>
            <w:r>
              <w:fldChar w:fldCharType="end"/>
            </w:r>
            <w:r>
              <w:t>£10,000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"entry:N1C297:Table" </w:instrText>
            </w:r>
            <w:r>
              <w:fldChar w:fldCharType="end"/>
            </w:r>
            <w:r>
              <w:fldChar w:fldCharType="begin"/>
            </w:r>
            <w:r>
              <w:instrText xml:space="preserve"> XE "para:N1C29B:Table" </w:instrText>
            </w:r>
            <w:r>
              <w:fldChar w:fldCharType="end"/>
            </w:r>
            <w:r>
              <w:t>£9,335</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"entry:N1C29F:Table" </w:instrText>
            </w:r>
            <w:r>
              <w:fldChar w:fldCharType="end"/>
            </w:r>
            <w:r>
              <w:fldChar w:fldCharType="begin"/>
            </w:r>
            <w:r>
              <w:instrText xml:space="preserve"> XE "para:N1C2A4:Table" </w:instrText>
            </w:r>
            <w:r>
              <w:fldChar w:fldCharType="end"/>
            </w:r>
            <w:r>
              <w:t xml:space="preserve">1.5 </w:t>
            </w:r>
            <w:proofErr w:type="spellStart"/>
            <w:r>
              <w:t>a betting</w:t>
            </w:r>
            <w:proofErr w:type="spellEnd"/>
            <w:r>
              <w:t xml:space="preserve"> intermediary operating licence referred to in section 65(2)(</w:t>
            </w:r>
            <w:r>
              <w:rPr>
                <w:i/>
                <w:iCs/>
              </w:rPr>
              <w:t>e</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"entry:N1C2AA:Table" </w:instrText>
            </w:r>
            <w:r>
              <w:fldChar w:fldCharType="end"/>
            </w:r>
            <w:r>
              <w:fldChar w:fldCharType="begin"/>
            </w:r>
            <w:r>
              <w:instrText xml:space="preserve"> XE "para:N1C2B0:Table" </w:instrText>
            </w:r>
            <w:r>
              <w:fldChar w:fldCharType="end"/>
            </w:r>
            <w:r>
              <w:t>£10,000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"entry:N1C2B2:Table" </w:instrText>
            </w:r>
            <w:r>
              <w:fldChar w:fldCharType="end"/>
            </w:r>
            <w:r>
              <w:fldChar w:fldCharType="begin"/>
            </w:r>
            <w:r>
              <w:instrText xml:space="preserve"> XE "para:N1C2B6:Table" </w:instrText>
            </w:r>
            <w:r>
              <w:fldChar w:fldCharType="end"/>
            </w:r>
            <w:r>
              <w:t>£9,335</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"entry:N1C2BA:Table" </w:instrText>
            </w:r>
            <w:r>
              <w:fldChar w:fldCharType="end"/>
            </w:r>
            <w:r>
              <w:fldChar w:fldCharType="begin"/>
            </w:r>
            <w:r>
              <w:instrText xml:space="preserve"> XE "para:N1C2BF:Table" </w:instrText>
            </w:r>
            <w:r>
              <w:fldChar w:fldCharType="end"/>
            </w:r>
            <w:r>
              <w:t>1.6 a gaming machine general operating licence for an adult gaming centre referred to in section 65(2)(</w:t>
            </w:r>
            <w:r>
              <w:rPr>
                <w:i/>
                <w:iCs/>
              </w:rPr>
              <w:t>f</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"entry:N1C2C5:Table" </w:instrText>
            </w:r>
            <w:r>
              <w:fldChar w:fldCharType="end"/>
            </w:r>
            <w:r>
              <w:fldChar w:fldCharType="begin"/>
            </w:r>
            <w:r>
              <w:instrText xml:space="preserve"> XE "para:N1C2CB:Table" </w:instrText>
            </w:r>
            <w:r>
              <w:fldChar w:fldCharType="end"/>
            </w:r>
            <w:r>
              <w:t>£1,600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"entry:N1C2CD:Table" </w:instrText>
            </w:r>
            <w:r>
              <w:fldChar w:fldCharType="end"/>
            </w:r>
            <w:r>
              <w:fldChar w:fldCharType="begin"/>
            </w:r>
            <w:r>
              <w:instrText xml:space="preserve"> XE "para:N1C2D1:Table" </w:instrText>
            </w:r>
            <w:r>
              <w:fldChar w:fldCharType="end"/>
            </w:r>
            <w:r>
              <w:t>£1,450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"entry:N1C2D5:Table" </w:instrText>
            </w:r>
            <w:r>
              <w:fldChar w:fldCharType="end"/>
            </w:r>
            <w:r>
              <w:fldChar w:fldCharType="begin"/>
            </w:r>
            <w:r>
              <w:instrText xml:space="preserve"> XE "para:N1C2DA:Table" </w:instrText>
            </w:r>
            <w:r>
              <w:fldChar w:fldCharType="end"/>
            </w:r>
            <w:r>
              <w:t>1.7 a gaming machine general operating licence for a family entertainment centre referred to in section 65(2)(</w:t>
            </w:r>
            <w:r>
              <w:rPr>
                <w:i/>
                <w:iCs/>
              </w:rPr>
              <w:t>g</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"entry:N1C2E0:Table" </w:instrText>
            </w:r>
            <w:r>
              <w:fldChar w:fldCharType="end"/>
            </w:r>
            <w:r>
              <w:fldChar w:fldCharType="begin"/>
            </w:r>
            <w:r>
              <w:instrText xml:space="preserve"> XE "para:N1C2E6:Table" </w:instrText>
            </w:r>
            <w:r>
              <w:fldChar w:fldCharType="end"/>
            </w:r>
            <w:r>
              <w:t>£1,600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"entry:N1C2E8:Table" </w:instrText>
            </w:r>
            <w:r>
              <w:fldChar w:fldCharType="end"/>
            </w:r>
            <w:r>
              <w:fldChar w:fldCharType="begin"/>
            </w:r>
            <w:r>
              <w:instrText xml:space="preserve"> XE "para:N1C2EC:Table" </w:instrText>
            </w:r>
            <w:r>
              <w:fldChar w:fldCharType="end"/>
            </w:r>
            <w:r>
              <w:t>£1,450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"entry:N1C2F0:Table" </w:instrText>
            </w:r>
            <w:r>
              <w:fldChar w:fldCharType="end"/>
            </w:r>
            <w:r>
              <w:fldChar w:fldCharType="begin"/>
            </w:r>
            <w:r>
              <w:instrText xml:space="preserve"> XE "para:N1C2F5:Table" </w:instrText>
            </w:r>
            <w:r>
              <w:fldChar w:fldCharType="end"/>
            </w:r>
            <w:r>
              <w:t>1.8 a gaming machine technical operating licence referred to in section 65(2)(</w:t>
            </w:r>
            <w:r>
              <w:rPr>
                <w:i/>
                <w:iCs/>
              </w:rPr>
              <w:t>h</w:t>
            </w:r>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"entry:N1C2FB:Table" </w:instrText>
            </w:r>
            <w:r>
              <w:fldChar w:fldCharType="end"/>
            </w:r>
            <w:r>
              <w:fldChar w:fldCharType="begin"/>
            </w:r>
            <w:r>
              <w:instrText xml:space="preserve"> XE "para:N1C301:Table" </w:instrText>
            </w:r>
            <w:r>
              <w:fldChar w:fldCharType="end"/>
            </w:r>
            <w:r>
              <w:t>£1,600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"entry:N1C303:Table" </w:instrText>
            </w:r>
            <w:r>
              <w:fldChar w:fldCharType="end"/>
            </w:r>
            <w:r>
              <w:fldChar w:fldCharType="begin"/>
            </w:r>
            <w:r>
              <w:instrText xml:space="preserve"> XE "para:N1C307:Table" </w:instrText>
            </w:r>
            <w:r>
              <w:fldChar w:fldCharType="end"/>
            </w:r>
            <w:r>
              <w:t>£1,450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"entry:N1C30B:Table" </w:instrText>
            </w:r>
            <w:r>
              <w:fldChar w:fldCharType="end"/>
            </w:r>
            <w:r>
              <w:fldChar w:fldCharType="begin"/>
            </w:r>
            <w:r>
              <w:instrText xml:space="preserve"> XE "para:N1C310:Table" </w:instrText>
            </w:r>
            <w:r>
              <w:fldChar w:fldCharType="end"/>
            </w:r>
            <w:r>
              <w:t>1.9 a gambling software operating licence referred to in with section 65(2)(</w:t>
            </w:r>
            <w:proofErr w:type="spellStart"/>
            <w:r>
              <w:t>i</w:t>
            </w:r>
            <w:proofErr w:type="spellEnd"/>
            <w:r>
              <w:t>)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"entry:N1C312:Table" </w:instrText>
            </w:r>
            <w:r>
              <w:fldChar w:fldCharType="end"/>
            </w:r>
            <w:r>
              <w:fldChar w:fldCharType="begin"/>
            </w:r>
            <w:r>
              <w:instrText xml:space="preserve"> XE "para:N1C318:Table" </w:instrText>
            </w:r>
            <w:r>
              <w:fldChar w:fldCharType="end"/>
            </w:r>
            <w:r>
              <w:t>£1,600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"entry:N1C31A:Table" </w:instrText>
            </w:r>
            <w:r>
              <w:fldChar w:fldCharType="end"/>
            </w:r>
            <w:r>
              <w:fldChar w:fldCharType="begin"/>
            </w:r>
            <w:r>
              <w:instrText xml:space="preserve"> XE "para:N1C31E:Table" </w:instrText>
            </w:r>
            <w:r>
              <w:fldChar w:fldCharType="end"/>
            </w:r>
            <w:r>
              <w:t>£1,450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"entry:N1C322:Table" </w:instrText>
            </w:r>
            <w:r>
              <w:fldChar w:fldCharType="end"/>
            </w:r>
            <w:r>
              <w:fldChar w:fldCharType="begin"/>
            </w:r>
            <w:r>
              <w:instrText xml:space="preserve"> XE "para:N1C327:Table" </w:instrText>
            </w:r>
            <w:r>
              <w:fldChar w:fldCharType="end"/>
            </w:r>
            <w:r>
              <w:t>1.10 a lottery operating licence referred to in section 65(2)(j)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"entry:N1C329:Table" </w:instrText>
            </w:r>
            <w:r>
              <w:fldChar w:fldCharType="end"/>
            </w:r>
            <w:r>
              <w:fldChar w:fldCharType="begin"/>
            </w:r>
            <w:r>
              <w:instrText xml:space="preserve"> XE "para:N1C32F:Table" </w:instrText>
            </w:r>
            <w:r>
              <w:fldChar w:fldCharType="end"/>
            </w:r>
            <w:r>
              <w:t>£9,400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"entry:N1C331:Table" </w:instrText>
            </w:r>
            <w:r>
              <w:fldChar w:fldCharType="end"/>
            </w:r>
            <w:r>
              <w:fldChar w:fldCharType="begin"/>
            </w:r>
            <w:r>
              <w:instrText xml:space="preserve"> XE "para:N1C335:Table" </w:instrText>
            </w:r>
            <w:r>
              <w:fldChar w:fldCharType="end"/>
            </w:r>
            <w:r>
              <w:t>£8,710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"entry:N1C339:Table" </w:instrText>
            </w:r>
            <w:r>
              <w:fldChar w:fldCharType="end"/>
            </w:r>
            <w:r>
              <w:fldChar w:fldCharType="begin"/>
            </w:r>
            <w:r>
              <w:instrText xml:space="preserve"> XE "para:N1C33E:Table" </w:instrText>
            </w:r>
            <w:r>
              <w:fldChar w:fldCharType="end"/>
            </w:r>
            <w:r>
              <w:t>1.11 a personal management office licence referred to in section 127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"entry:N1C340:Table" </w:instrText>
            </w:r>
            <w:r>
              <w:fldChar w:fldCharType="end"/>
            </w:r>
            <w:r>
              <w:fldChar w:fldCharType="begin"/>
            </w:r>
            <w:r>
              <w:instrText xml:space="preserve"> XE "para:N1C346:Table" </w:instrText>
            </w:r>
            <w:r>
              <w:fldChar w:fldCharType="end"/>
            </w:r>
            <w:r>
              <w:t>£1,600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"entry:N1C348:Table" </w:instrText>
            </w:r>
            <w:r>
              <w:fldChar w:fldCharType="end"/>
            </w:r>
            <w:r>
              <w:fldChar w:fldCharType="begin"/>
            </w:r>
            <w:r>
              <w:instrText xml:space="preserve"> XE "para:N1C34C:Table" </w:instrText>
            </w:r>
            <w:r>
              <w:fldChar w:fldCharType="end"/>
            </w:r>
            <w:r>
              <w:t>£1,450</w:t>
            </w:r>
          </w:p>
        </w:tc>
      </w:tr>
      <w:tr w:rsidR="000D0F66" w:rsidTr="00C96ED3">
        <w:trPr>
          <w:tblCellSpacing w:w="7" w:type="dxa"/>
        </w:trPr>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"entry:N1C350:Table" </w:instrText>
            </w:r>
            <w:r>
              <w:fldChar w:fldCharType="end"/>
            </w:r>
            <w:r>
              <w:fldChar w:fldCharType="begin"/>
            </w:r>
            <w:r>
              <w:instrText xml:space="preserve"> XE "para:N1C355:Table" </w:instrText>
            </w:r>
            <w:r>
              <w:fldChar w:fldCharType="end"/>
            </w:r>
            <w:r>
              <w:t>1.12 a personal operational function licence referred to in section 127 of that Act</w:t>
            </w:r>
          </w:p>
        </w:tc>
        <w:tc>
          <w:tcPr>
            <w:tcW w:w="0" w:type="auto"/>
            <w:tcBorders>
              <w:bottom w:val="single" w:sz="4" w:space="0" w:color="auto"/>
              <w:right w:val="single" w:sz="4" w:space="0" w:color="auto"/>
            </w:tcBorders>
            <w:vAlign w:val="center"/>
            <w:hideMark/>
          </w:tcPr>
          <w:p w:rsidR="000D0F66" w:rsidRDefault="000D0F66" w:rsidP="00C96ED3">
            <w:pPr>
              <w:pStyle w:val="Table"/>
            </w:pPr>
            <w:r>
              <w:fldChar w:fldCharType="begin"/>
            </w:r>
            <w:r>
              <w:instrText xml:space="preserve"> XE "entry:N1C357:Table" </w:instrText>
            </w:r>
            <w:r>
              <w:fldChar w:fldCharType="end"/>
            </w:r>
            <w:r>
              <w:fldChar w:fldCharType="begin"/>
            </w:r>
            <w:r>
              <w:instrText xml:space="preserve"> XE "para:N1C35D:Table" </w:instrText>
            </w:r>
            <w:r>
              <w:fldChar w:fldCharType="end"/>
            </w:r>
            <w:r>
              <w:t>£800</w:t>
            </w:r>
          </w:p>
        </w:tc>
        <w:tc>
          <w:tcPr>
            <w:tcW w:w="0" w:type="auto"/>
            <w:tcBorders>
              <w:bottom w:val="single" w:sz="4" w:space="0" w:color="auto"/>
            </w:tcBorders>
            <w:vAlign w:val="center"/>
            <w:hideMark/>
          </w:tcPr>
          <w:p w:rsidR="000D0F66" w:rsidRDefault="000D0F66" w:rsidP="00C96ED3">
            <w:pPr>
              <w:pStyle w:val="Table"/>
            </w:pPr>
            <w:r>
              <w:fldChar w:fldCharType="begin"/>
            </w:r>
            <w:r>
              <w:instrText xml:space="preserve"> XE "entry:N1C35F:Table" </w:instrText>
            </w:r>
            <w:r>
              <w:fldChar w:fldCharType="end"/>
            </w:r>
            <w:r>
              <w:fldChar w:fldCharType="begin"/>
            </w:r>
            <w:r>
              <w:instrText xml:space="preserve"> XE "para:N1C363:Table" </w:instrText>
            </w:r>
            <w:r>
              <w:fldChar w:fldCharType="end"/>
            </w:r>
            <w:r>
              <w:t>£755</w:t>
            </w:r>
          </w:p>
        </w:tc>
      </w:tr>
      <w:tr w:rsidR="000D0F66" w:rsidTr="00C96ED3">
        <w:trPr>
          <w:tblCellSpacing w:w="7" w:type="dxa"/>
        </w:trPr>
        <w:tc>
          <w:tcPr>
            <w:tcW w:w="0" w:type="auto"/>
            <w:tcBorders>
              <w:right w:val="single" w:sz="4" w:space="0" w:color="auto"/>
            </w:tcBorders>
            <w:vAlign w:val="center"/>
            <w:hideMark/>
          </w:tcPr>
          <w:p w:rsidR="000D0F66" w:rsidRDefault="000D0F66" w:rsidP="00C96ED3">
            <w:pPr>
              <w:pStyle w:val="Table"/>
            </w:pPr>
            <w:r>
              <w:fldChar w:fldCharType="begin"/>
            </w:r>
            <w:r>
              <w:instrText xml:space="preserve"> XE "entry:N1C367:Table" </w:instrText>
            </w:r>
            <w:r>
              <w:fldChar w:fldCharType="end"/>
            </w:r>
            <w:r>
              <w:fldChar w:fldCharType="begin"/>
            </w:r>
            <w:r>
              <w:instrText xml:space="preserve"> XE "para:N1C36C:Table" </w:instrText>
            </w:r>
            <w:r>
              <w:fldChar w:fldCharType="end"/>
            </w:r>
            <w:r>
              <w:t>2 On filing an appeal under section 337(1) of the Gambling Act 2005 against the Gambling Commission's order to void a bet under section 336(1) of that Act</w:t>
            </w:r>
          </w:p>
        </w:tc>
        <w:tc>
          <w:tcPr>
            <w:tcW w:w="0" w:type="auto"/>
            <w:tcBorders>
              <w:right w:val="single" w:sz="4" w:space="0" w:color="auto"/>
            </w:tcBorders>
            <w:vAlign w:val="center"/>
            <w:hideMark/>
          </w:tcPr>
          <w:p w:rsidR="000D0F66" w:rsidRDefault="000D0F66" w:rsidP="00C96ED3">
            <w:pPr>
              <w:pStyle w:val="Table"/>
            </w:pPr>
            <w:r>
              <w:fldChar w:fldCharType="begin"/>
            </w:r>
            <w:r>
              <w:instrText xml:space="preserve"> XE "entry:N1C36E:Table" </w:instrText>
            </w:r>
            <w:r>
              <w:fldChar w:fldCharType="end"/>
            </w:r>
            <w:r>
              <w:fldChar w:fldCharType="begin"/>
            </w:r>
            <w:r>
              <w:instrText xml:space="preserve"> XE "para:N1C374:Table" </w:instrText>
            </w:r>
            <w:r>
              <w:fldChar w:fldCharType="end"/>
            </w:r>
            <w:r>
              <w:t>£9,400</w:t>
            </w:r>
          </w:p>
        </w:tc>
        <w:tc>
          <w:tcPr>
            <w:tcW w:w="0" w:type="auto"/>
            <w:vAlign w:val="center"/>
            <w:hideMark/>
          </w:tcPr>
          <w:p w:rsidR="000D0F66" w:rsidRDefault="000D0F66" w:rsidP="00C96ED3">
            <w:pPr>
              <w:pStyle w:val="Table"/>
            </w:pPr>
            <w:r>
              <w:fldChar w:fldCharType="begin"/>
            </w:r>
            <w:r>
              <w:instrText xml:space="preserve"> XE "entry:N1C376:Table" </w:instrText>
            </w:r>
            <w:r>
              <w:fldChar w:fldCharType="end"/>
            </w:r>
            <w:r>
              <w:fldChar w:fldCharType="begin"/>
            </w:r>
            <w:r>
              <w:instrText xml:space="preserve"> XE "para:N1C37A:Table" </w:instrText>
            </w:r>
            <w:r>
              <w:fldChar w:fldCharType="end"/>
            </w:r>
            <w:r>
              <w:t>£8,710]</w:t>
            </w:r>
          </w:p>
        </w:tc>
      </w:tr>
    </w:tbl>
    <w:p w:rsidR="000D0F66" w:rsidRDefault="000D0F66" w:rsidP="000D0F66">
      <w:pPr>
        <w:pStyle w:val="TableE"/>
      </w:pPr>
      <w:r>
        <w:fldChar w:fldCharType="begin"/>
      </w:r>
      <w:r>
        <w:instrText xml:space="preserve"> XE "table:N1C1CF:TableE" </w:instrText>
      </w:r>
      <w:r>
        <w:fldChar w:fldCharType="end"/>
      </w:r>
      <w:r>
        <w:t>#</w:t>
      </w:r>
      <w:proofErr w:type="spellStart"/>
      <w:r>
        <w:t>TableE</w:t>
      </w:r>
      <w:proofErr w:type="spellEnd"/>
    </w:p>
    <w:p w:rsidR="000D0F66" w:rsidRDefault="000D0F66" w:rsidP="000D0F66">
      <w:pPr>
        <w:pStyle w:val="FTE"/>
      </w:pPr>
      <w:r>
        <w:fldChar w:fldCharType="begin"/>
      </w:r>
      <w:r>
        <w:instrText xml:space="preserve"> XE "table:N1C1CF:FTE" </w:instrText>
      </w:r>
      <w:r>
        <w:fldChar w:fldCharType="end"/>
      </w:r>
      <w:r>
        <w:t>[FTE</w:t>
      </w:r>
    </w:p>
    <w:p w:rsidR="000D0F66" w:rsidRDefault="000D0F66" w:rsidP="000D0F66">
      <w:pPr>
        <w:pStyle w:val="CommentB"/>
      </w:pPr>
      <w:r>
        <w:fldChar w:fldCharType="begin"/>
      </w:r>
      <w:r>
        <w:instrText xml:space="preserve"> XE "comment:N1C37C" </w:instrText>
      </w:r>
      <w:r>
        <w:fldChar w:fldCharType="end"/>
      </w:r>
      <w:r>
        <w:t>#</w:t>
      </w:r>
      <w:proofErr w:type="spellStart"/>
      <w:r>
        <w:t>CommentB</w:t>
      </w:r>
      <w:proofErr w:type="spellEnd"/>
    </w:p>
    <w:p w:rsidR="000D0F66" w:rsidRDefault="000D0F66" w:rsidP="000D0F66">
      <w:pPr>
        <w:pStyle w:val="n-GenericHead"/>
      </w:pPr>
      <w:r>
        <w:rPr>
          <w:b/>
          <w:bCs/>
        </w:rPr>
        <w:fldChar w:fldCharType="begin"/>
      </w:r>
      <w:r>
        <w:rPr>
          <w:b/>
          <w:bCs/>
        </w:rPr>
        <w:instrText xml:space="preserve"> XE "generic-hd:N1C380:n-GenericHead" </w:instrText>
      </w:r>
      <w:r>
        <w:rPr>
          <w:b/>
          <w:bCs/>
        </w:rPr>
        <w:fldChar w:fldCharType="end"/>
      </w:r>
      <w:r>
        <w:rPr>
          <w:b/>
          <w:bCs/>
        </w:rPr>
        <w:t>Amendments—</w:t>
      </w:r>
      <w:r>
        <w:t xml:space="preserve"> </w:t>
      </w:r>
    </w:p>
    <w:p w:rsidR="000D0F66" w:rsidRDefault="000D0F66" w:rsidP="000D0F66">
      <w:pPr>
        <w:pStyle w:val="n-Para"/>
      </w:pPr>
      <w:r>
        <w:fldChar w:fldCharType="begin"/>
      </w:r>
      <w:r>
        <w:instrText xml:space="preserve"> XE "para:N1C383:n-Para" </w:instrText>
      </w:r>
      <w:r>
        <w:fldChar w:fldCharType="end"/>
      </w:r>
      <w:r>
        <w:t>Schedule substituted by the First-tier Tribunal (Gambling) Fees (Amendment) Order, SI 2010/633 art 2, Schedule with effect from 6 April 2010.</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66"/>
    <w:rsid w:val="000D0F66"/>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0D0F6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0D0F66"/>
    <w:pPr>
      <w:tabs>
        <w:tab w:val="left" w:pos="567"/>
      </w:tabs>
      <w:spacing w:before="120"/>
    </w:pPr>
    <w:rPr>
      <w:sz w:val="24"/>
      <w:lang w:eastAsia="en-GB"/>
    </w:rPr>
  </w:style>
  <w:style w:type="paragraph" w:customStyle="1" w:styleId="n-Para">
    <w:name w:val="n-Para"/>
    <w:rsid w:val="000D0F66"/>
    <w:pPr>
      <w:tabs>
        <w:tab w:val="left" w:pos="567"/>
      </w:tabs>
      <w:spacing w:before="120" w:after="0" w:line="240" w:lineRule="auto"/>
    </w:pPr>
    <w:rPr>
      <w:rFonts w:ascii="Arial" w:eastAsia="Times New Roman" w:hAnsi="Arial" w:cs="Times New Roman"/>
      <w:sz w:val="20"/>
      <w:szCs w:val="20"/>
      <w:lang w:eastAsia="en-GB"/>
    </w:rPr>
  </w:style>
  <w:style w:type="paragraph" w:customStyle="1" w:styleId="TableB">
    <w:name w:val="#TableB"/>
    <w:rsid w:val="000D0F6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D0F6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D0F66"/>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0D0F6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TTL">
    <w:name w:val="[TTL"/>
    <w:rsid w:val="000D0F6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D0F6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D0F6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D0F6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D0F6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D0F6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D0F66"/>
    <w:pPr>
      <w:spacing w:before="240" w:after="0" w:line="240" w:lineRule="auto"/>
    </w:pPr>
    <w:rPr>
      <w:rFonts w:ascii="Arial" w:eastAsia="Times New Roman" w:hAnsi="Arial" w:cs="Times New Roman"/>
      <w:sz w:val="20"/>
      <w:szCs w:val="20"/>
      <w:lang w:eastAsia="en-GB"/>
    </w:rPr>
  </w:style>
  <w:style w:type="paragraph" w:customStyle="1" w:styleId="P2">
    <w:name w:val="[P2"/>
    <w:rsid w:val="000D0F6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D0F66"/>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0D0F66"/>
    <w:pPr>
      <w:spacing w:before="240" w:after="0" w:line="240" w:lineRule="auto"/>
      <w:ind w:left="567"/>
    </w:pPr>
    <w:rPr>
      <w:rFonts w:ascii="Arial" w:eastAsia="Times New Roman" w:hAnsi="Arial" w:cs="Times New Roman"/>
      <w:sz w:val="20"/>
      <w:szCs w:val="20"/>
      <w:lang w:eastAsia="en-GB"/>
    </w:rPr>
  </w:style>
  <w:style w:type="paragraph" w:customStyle="1" w:styleId="SCHD">
    <w:name w:val="[SCHD"/>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D0F6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D0F6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0D0F6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D0F6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0D0F6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0D0F66"/>
    <w:pPr>
      <w:tabs>
        <w:tab w:val="left" w:pos="567"/>
      </w:tabs>
      <w:spacing w:before="120"/>
    </w:pPr>
    <w:rPr>
      <w:sz w:val="24"/>
      <w:lang w:eastAsia="en-GB"/>
    </w:rPr>
  </w:style>
  <w:style w:type="paragraph" w:customStyle="1" w:styleId="n-Para">
    <w:name w:val="n-Para"/>
    <w:rsid w:val="000D0F66"/>
    <w:pPr>
      <w:tabs>
        <w:tab w:val="left" w:pos="567"/>
      </w:tabs>
      <w:spacing w:before="120" w:after="0" w:line="240" w:lineRule="auto"/>
    </w:pPr>
    <w:rPr>
      <w:rFonts w:ascii="Arial" w:eastAsia="Times New Roman" w:hAnsi="Arial" w:cs="Times New Roman"/>
      <w:sz w:val="20"/>
      <w:szCs w:val="20"/>
      <w:lang w:eastAsia="en-GB"/>
    </w:rPr>
  </w:style>
  <w:style w:type="paragraph" w:customStyle="1" w:styleId="TableB">
    <w:name w:val="#TableB"/>
    <w:rsid w:val="000D0F66"/>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D0F66"/>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D0F66"/>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0D0F6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TTL">
    <w:name w:val="[TTL"/>
    <w:rsid w:val="000D0F6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0D0F6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D0F6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D0F6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D0F6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0D0F6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D0F66"/>
    <w:pPr>
      <w:spacing w:before="240" w:after="0" w:line="240" w:lineRule="auto"/>
    </w:pPr>
    <w:rPr>
      <w:rFonts w:ascii="Arial" w:eastAsia="Times New Roman" w:hAnsi="Arial" w:cs="Times New Roman"/>
      <w:sz w:val="20"/>
      <w:szCs w:val="20"/>
      <w:lang w:eastAsia="en-GB"/>
    </w:rPr>
  </w:style>
  <w:style w:type="paragraph" w:customStyle="1" w:styleId="P2">
    <w:name w:val="[P2"/>
    <w:rsid w:val="000D0F6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D0F66"/>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0D0F66"/>
    <w:pPr>
      <w:spacing w:before="240" w:after="0" w:line="240" w:lineRule="auto"/>
      <w:ind w:left="567"/>
    </w:pPr>
    <w:rPr>
      <w:rFonts w:ascii="Arial" w:eastAsia="Times New Roman" w:hAnsi="Arial" w:cs="Times New Roman"/>
      <w:sz w:val="20"/>
      <w:szCs w:val="20"/>
      <w:lang w:eastAsia="en-GB"/>
    </w:rPr>
  </w:style>
  <w:style w:type="paragraph" w:customStyle="1" w:styleId="SCHD">
    <w:name w:val="[SCHD"/>
    <w:rsid w:val="000D0F6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D0F66"/>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D0F66"/>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0D0F6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D0F66"/>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2014-04-29T16:48:00Z</dcterms:created>
  <dcterms:modified xsi:type="dcterms:W3CDTF">2014-04-29T16:48:00Z</dcterms:modified>
</cp:coreProperties>
</file>