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E7" w:rsidRDefault="00F53BE7" w:rsidP="00F53BE7">
      <w:pPr>
        <w:pStyle w:val="SNUM"/>
      </w:pPr>
      <w:r>
        <w:fldChar w:fldCharType="begin"/>
      </w:r>
      <w:r>
        <w:instrText xml:space="preserve"> XE "officialnum:N18989:[SNUM" </w:instrText>
      </w:r>
      <w:r>
        <w:fldChar w:fldCharType="end"/>
      </w:r>
      <w:r>
        <w:t>2003/123</w:t>
      </w:r>
    </w:p>
    <w:p w:rsidR="00F53BE7" w:rsidRDefault="00F53BE7" w:rsidP="00F53BE7">
      <w:pPr>
        <w:pStyle w:val="TTL"/>
      </w:pPr>
      <w:r>
        <w:fldChar w:fldCharType="begin"/>
      </w:r>
      <w:r>
        <w:instrText xml:space="preserve"> XE "title:N18990:[TTL" </w:instrText>
      </w:r>
      <w:r>
        <w:fldChar w:fldCharType="end"/>
      </w:r>
      <w:r>
        <w:t>Tax Credits (Interest Rate) Regulations 2003</w:t>
      </w:r>
    </w:p>
    <w:p w:rsidR="00F53BE7" w:rsidRDefault="00F53BE7" w:rsidP="00F53BE7">
      <w:pPr>
        <w:pStyle w:val="ENAR"/>
      </w:pPr>
      <w:r>
        <w:fldChar w:fldCharType="begin"/>
      </w:r>
      <w:r>
        <w:instrText xml:space="preserve"> XE "enactment-recital:N18993:[ENAR" </w:instrText>
      </w:r>
      <w:r>
        <w:fldChar w:fldCharType="end"/>
      </w:r>
      <w:r>
        <w:t xml:space="preserve">Made by the Treasury under TCA 2002 </w:t>
      </w:r>
      <w:proofErr w:type="spellStart"/>
      <w:r>
        <w:t>ss</w:t>
      </w:r>
      <w:proofErr w:type="spellEnd"/>
      <w:r>
        <w:t xml:space="preserve"> 37(2), (5), 65(1), (8) and 67</w:t>
      </w:r>
    </w:p>
    <w:p w:rsidR="00F53BE7" w:rsidRDefault="00F53BE7" w:rsidP="00F53BE7">
      <w:pPr>
        <w:pStyle w:val="MADE"/>
      </w:pPr>
      <w:r>
        <w:fldChar w:fldCharType="begin"/>
      </w:r>
      <w:r>
        <w:instrText xml:space="preserve"> XE "made:N18997:[MADE" </w:instrText>
      </w:r>
      <w:r>
        <w:fldChar w:fldCharType="end"/>
      </w:r>
      <w:r>
        <w:t xml:space="preserve">Made </w:t>
      </w:r>
      <w:r>
        <w:tab/>
        <w:t>28 January 2003</w:t>
      </w:r>
    </w:p>
    <w:p w:rsidR="00F53BE7" w:rsidRDefault="00F53BE7" w:rsidP="00F53BE7">
      <w:pPr>
        <w:pStyle w:val="LAID"/>
      </w:pPr>
      <w:r>
        <w:fldChar w:fldCharType="begin"/>
      </w:r>
      <w:r>
        <w:instrText xml:space="preserve"> XE "laid:N189A0:[LAID" </w:instrText>
      </w:r>
      <w:r>
        <w:fldChar w:fldCharType="end"/>
      </w:r>
      <w:r>
        <w:t xml:space="preserve">Laid before Parliament </w:t>
      </w:r>
      <w:r>
        <w:tab/>
        <w:t>28 January 2003</w:t>
      </w:r>
    </w:p>
    <w:p w:rsidR="00F53BE7" w:rsidRDefault="00F53BE7" w:rsidP="00F53BE7">
      <w:pPr>
        <w:pStyle w:val="OPER"/>
      </w:pPr>
      <w:r>
        <w:fldChar w:fldCharType="begin"/>
      </w:r>
      <w:r>
        <w:instrText xml:space="preserve"> XE "operation:N189A9:[OPER" </w:instrText>
      </w:r>
      <w:r>
        <w:fldChar w:fldCharType="end"/>
      </w:r>
      <w:r>
        <w:t xml:space="preserve">Coming into force </w:t>
      </w:r>
      <w:r>
        <w:tab/>
        <w:t>18 February 2003</w:t>
      </w:r>
    </w:p>
    <w:p w:rsidR="00F53BE7" w:rsidRDefault="00F53BE7" w:rsidP="00F53BE7">
      <w:pPr>
        <w:pStyle w:val="MAIN"/>
      </w:pPr>
      <w:r>
        <w:fldChar w:fldCharType="begin"/>
      </w:r>
      <w:r>
        <w:instrText xml:space="preserve"> XE "main:N189B2:MAIN" </w:instrText>
      </w:r>
      <w:r>
        <w:fldChar w:fldCharType="end"/>
      </w:r>
      <w:r>
        <w:t>[MAIN</w:t>
      </w:r>
    </w:p>
    <w:p w:rsidR="00F53BE7" w:rsidRDefault="00F53BE7" w:rsidP="00F53BE7">
      <w:pPr>
        <w:pStyle w:val="PHDR"/>
      </w:pPr>
      <w:r>
        <w:fldChar w:fldCharType="begin"/>
      </w:r>
      <w:r>
        <w:instrText xml:space="preserve"> XE "provision:N189B5:[PHDR" </w:instrText>
      </w:r>
      <w:r>
        <w:fldChar w:fldCharType="end"/>
      </w:r>
      <w:r>
        <w:t>1</w:t>
      </w:r>
      <w:r>
        <w:tab/>
        <w:t>Citation and commencement</w:t>
      </w:r>
    </w:p>
    <w:p w:rsidR="00F53BE7" w:rsidRDefault="00F53BE7" w:rsidP="00F53BE7">
      <w:pPr>
        <w:pStyle w:val="P1"/>
      </w:pPr>
      <w:r>
        <w:fldChar w:fldCharType="begin"/>
      </w:r>
      <w:r>
        <w:instrText xml:space="preserve"> XE "para1:N189D5:[P1" </w:instrText>
      </w:r>
      <w:r>
        <w:fldChar w:fldCharType="end"/>
      </w:r>
      <w:r>
        <w:t>These Regulations may be cited as the Tax Credits (Interest Rate) Regulations 2003 and shall come into force on 18th February 2003.</w:t>
      </w:r>
    </w:p>
    <w:p w:rsidR="00F53BE7" w:rsidRDefault="00F53BE7" w:rsidP="00F53BE7">
      <w:pPr>
        <w:pStyle w:val="PHDR"/>
      </w:pPr>
      <w:r>
        <w:fldChar w:fldCharType="begin"/>
      </w:r>
      <w:r>
        <w:instrText xml:space="preserve"> XE "provision:N189D9:[PHDR" </w:instrText>
      </w:r>
      <w:r>
        <w:fldChar w:fldCharType="end"/>
      </w:r>
      <w:r>
        <w:t>2</w:t>
      </w:r>
      <w:r>
        <w:tab/>
        <w:t>Interpretation</w:t>
      </w:r>
    </w:p>
    <w:p w:rsidR="00F53BE7" w:rsidRDefault="00F53BE7" w:rsidP="00F53BE7">
      <w:pPr>
        <w:pStyle w:val="P1"/>
      </w:pPr>
      <w:r>
        <w:fldChar w:fldCharType="begin"/>
      </w:r>
      <w:r>
        <w:instrText xml:space="preserve"> XE "para1:N189F9:[P1" </w:instrText>
      </w:r>
      <w:r>
        <w:fldChar w:fldCharType="end"/>
      </w:r>
      <w:r>
        <w:t>(1)</w:t>
      </w:r>
      <w:r>
        <w:tab/>
        <w:t>In these Regulations—</w:t>
      </w:r>
    </w:p>
    <w:p w:rsidR="00F53BE7" w:rsidRDefault="00F53BE7" w:rsidP="00F53BE7">
      <w:pPr>
        <w:pStyle w:val="DEFINITIONB"/>
      </w:pPr>
      <w:r>
        <w:fldChar w:fldCharType="begin"/>
      </w:r>
      <w:r>
        <w:instrText xml:space="preserve"> XE "definition:N189FF:DEFINITIONB" </w:instrText>
      </w:r>
      <w:r>
        <w:fldChar w:fldCharType="end"/>
      </w:r>
      <w:r>
        <w:t>[DEFINITIONB</w:t>
      </w:r>
    </w:p>
    <w:p w:rsidR="00F53BE7" w:rsidRDefault="00F53BE7" w:rsidP="00F53BE7">
      <w:pPr>
        <w:pStyle w:val="P2"/>
      </w:pPr>
      <w:r>
        <w:fldChar w:fldCharType="begin"/>
      </w:r>
      <w:r>
        <w:instrText xml:space="preserve"> XE "para2:N18A02:[P2" </w:instrText>
      </w:r>
      <w:r>
        <w:fldChar w:fldCharType="end"/>
      </w:r>
      <w:r>
        <w:t>“the Board” means the Commissioners of Inland Revenue;</w:t>
      </w:r>
    </w:p>
    <w:p w:rsidR="00F53BE7" w:rsidRDefault="00F53BE7" w:rsidP="00F53BE7">
      <w:pPr>
        <w:pStyle w:val="P2"/>
      </w:pPr>
      <w:r>
        <w:fldChar w:fldCharType="begin"/>
      </w:r>
      <w:r>
        <w:instrText xml:space="preserve"> XE "para2:N18A06:[P2" </w:instrText>
      </w:r>
      <w:r>
        <w:fldChar w:fldCharType="end"/>
      </w:r>
      <w:r>
        <w:t>“established rate” means—</w:t>
      </w:r>
    </w:p>
    <w:p w:rsidR="00F53BE7" w:rsidRDefault="00F53BE7" w:rsidP="00F53BE7">
      <w:pPr>
        <w:pStyle w:val="P3"/>
      </w:pPr>
      <w:r>
        <w:fldChar w:fldCharType="begin"/>
      </w:r>
      <w:r>
        <w:instrText xml:space="preserve"> XE "para3:N18A0A:[P3" </w:instrText>
      </w:r>
      <w:r>
        <w:fldChar w:fldCharType="end"/>
      </w:r>
      <w:r>
        <w:t>(</w:t>
      </w:r>
      <w:r>
        <w:rPr>
          <w:i/>
          <w:iCs/>
        </w:rPr>
        <w:t>a</w:t>
      </w:r>
      <w:r>
        <w:t>)</w:t>
      </w:r>
      <w:r>
        <w:tab/>
        <w:t>on the coming into force of these Regulations, 6.5 per cent. per annum;</w:t>
      </w:r>
    </w:p>
    <w:p w:rsidR="00F53BE7" w:rsidRDefault="00F53BE7" w:rsidP="00F53BE7">
      <w:pPr>
        <w:pStyle w:val="P3"/>
      </w:pPr>
      <w:r>
        <w:fldChar w:fldCharType="begin"/>
      </w:r>
      <w:r>
        <w:instrText xml:space="preserve"> XE "para3:N18A14:[P3" </w:instrText>
      </w:r>
      <w:r>
        <w:fldChar w:fldCharType="end"/>
      </w:r>
      <w:r>
        <w:t>(</w:t>
      </w:r>
      <w:r>
        <w:rPr>
          <w:i/>
          <w:iCs/>
        </w:rPr>
        <w:t>b</w:t>
      </w:r>
      <w:r>
        <w:t>)</w:t>
      </w:r>
      <w:r>
        <w:tab/>
        <w:t>in relation to any date after the first reference date after the coming into force of these Regulations, the reference rate found on the immediately preceding reference date;</w:t>
      </w:r>
    </w:p>
    <w:p w:rsidR="00F53BE7" w:rsidRDefault="00F53BE7" w:rsidP="00F53BE7">
      <w:pPr>
        <w:pStyle w:val="P2"/>
      </w:pPr>
      <w:r>
        <w:fldChar w:fldCharType="begin"/>
      </w:r>
      <w:r>
        <w:instrText xml:space="preserve"> XE "para2:N18A1E:[P2" </w:instrText>
      </w:r>
      <w:r>
        <w:fldChar w:fldCharType="end"/>
      </w:r>
      <w:r>
        <w:t>“operative date” means the sixth day of each month;</w:t>
      </w:r>
    </w:p>
    <w:p w:rsidR="00F53BE7" w:rsidRDefault="00F53BE7" w:rsidP="00F53BE7">
      <w:pPr>
        <w:pStyle w:val="P2"/>
      </w:pPr>
      <w:r>
        <w:fldChar w:fldCharType="begin"/>
      </w:r>
      <w:r>
        <w:instrText xml:space="preserve"> XE "para2:N18A22:[P2" </w:instrText>
      </w:r>
      <w:r>
        <w:fldChar w:fldCharType="end"/>
      </w:r>
      <w:r>
        <w:t>“reference date” means the day of each month which is the twelfth working day before the sixth day of the following month;</w:t>
      </w:r>
    </w:p>
    <w:p w:rsidR="00F53BE7" w:rsidRDefault="00F53BE7" w:rsidP="00F53BE7">
      <w:pPr>
        <w:pStyle w:val="P2"/>
      </w:pPr>
      <w:r>
        <w:fldChar w:fldCharType="begin"/>
      </w:r>
      <w:r>
        <w:instrText xml:space="preserve"> XE "para2:N18A26:[P2" </w:instrText>
      </w:r>
      <w:r>
        <w:fldChar w:fldCharType="end"/>
      </w:r>
      <w:r>
        <w:t>“tax credit” means child tax credit or, as the case may be, working tax credit, provision for which is made by the Tax Credits Act 2002;</w:t>
      </w:r>
    </w:p>
    <w:p w:rsidR="00F53BE7" w:rsidRDefault="00F53BE7" w:rsidP="00F53BE7">
      <w:pPr>
        <w:pStyle w:val="P2"/>
      </w:pPr>
      <w:r>
        <w:fldChar w:fldCharType="begin"/>
      </w:r>
      <w:r>
        <w:instrText xml:space="preserve"> XE "para2:N18A2A:[P2" </w:instrText>
      </w:r>
      <w:r>
        <w:fldChar w:fldCharType="end"/>
      </w:r>
      <w:r>
        <w:t>“working day” means any day other than a non-business day within the meaning of section 92 of the Bills of Exchange Act 1882.</w:t>
      </w:r>
    </w:p>
    <w:p w:rsidR="00F53BE7" w:rsidRDefault="00F53BE7" w:rsidP="00F53BE7">
      <w:pPr>
        <w:pStyle w:val="DEFINITIONE"/>
      </w:pPr>
      <w:r>
        <w:fldChar w:fldCharType="begin"/>
      </w:r>
      <w:r>
        <w:instrText xml:space="preserve"> XE "definition:N189FF:DEFINITIONE" </w:instrText>
      </w:r>
      <w:r>
        <w:fldChar w:fldCharType="end"/>
      </w:r>
      <w:r>
        <w:t>[DEFINITIONE</w:t>
      </w:r>
    </w:p>
    <w:p w:rsidR="00F53BE7" w:rsidRDefault="00F53BE7" w:rsidP="00F53BE7">
      <w:pPr>
        <w:pStyle w:val="P1"/>
      </w:pPr>
      <w:r>
        <w:fldChar w:fldCharType="begin"/>
      </w:r>
      <w:r>
        <w:instrText xml:space="preserve"> XE "para1:N18A2E:[P1" </w:instrText>
      </w:r>
      <w:r>
        <w:fldChar w:fldCharType="end"/>
      </w:r>
      <w:r>
        <w:t>(2)</w:t>
      </w:r>
      <w:r>
        <w:tab/>
        <w:t>For the purposes of regulation 4(2) the reference rate found on a reference date is the percentage per annum found by averaging the base lending rates at close of business on that date of—</w:t>
      </w:r>
    </w:p>
    <w:p w:rsidR="00F53BE7" w:rsidRDefault="00F53BE7" w:rsidP="00F53BE7">
      <w:pPr>
        <w:pStyle w:val="P2"/>
      </w:pPr>
      <w:r>
        <w:fldChar w:fldCharType="begin"/>
      </w:r>
      <w:r>
        <w:instrText xml:space="preserve"> XE "para2:N18A34:[P2" </w:instrText>
      </w:r>
      <w:r>
        <w:fldChar w:fldCharType="end"/>
      </w:r>
      <w:r>
        <w:t>(</w:t>
      </w:r>
      <w:r>
        <w:rPr>
          <w:i/>
          <w:iCs/>
        </w:rPr>
        <w:t>a</w:t>
      </w:r>
      <w:r>
        <w:t>)</w:t>
      </w:r>
      <w:r>
        <w:tab/>
        <w:t>Bank of Scotland;</w:t>
      </w:r>
    </w:p>
    <w:p w:rsidR="00F53BE7" w:rsidRDefault="00F53BE7" w:rsidP="00F53BE7">
      <w:pPr>
        <w:pStyle w:val="P2"/>
      </w:pPr>
      <w:r>
        <w:fldChar w:fldCharType="begin"/>
      </w:r>
      <w:r>
        <w:instrText xml:space="preserve"> XE "para2:N18A3E:[P2" </w:instrText>
      </w:r>
      <w:r>
        <w:fldChar w:fldCharType="end"/>
      </w:r>
      <w:r>
        <w:t>(</w:t>
      </w:r>
      <w:r>
        <w:rPr>
          <w:i/>
          <w:iCs/>
        </w:rPr>
        <w:t>b</w:t>
      </w:r>
      <w:r>
        <w:t>)</w:t>
      </w:r>
      <w:r>
        <w:tab/>
        <w:t>Barclays Bank plc;</w:t>
      </w:r>
    </w:p>
    <w:p w:rsidR="00F53BE7" w:rsidRDefault="00F53BE7" w:rsidP="00F53BE7">
      <w:pPr>
        <w:pStyle w:val="P2"/>
      </w:pPr>
      <w:r>
        <w:fldChar w:fldCharType="begin"/>
      </w:r>
      <w:r>
        <w:instrText xml:space="preserve"> XE "para2:N18A48:[P2" </w:instrText>
      </w:r>
      <w:r>
        <w:fldChar w:fldCharType="end"/>
      </w:r>
      <w:r>
        <w:t>(</w:t>
      </w:r>
      <w:r>
        <w:rPr>
          <w:i/>
          <w:iCs/>
        </w:rPr>
        <w:t>c</w:t>
      </w:r>
      <w:r>
        <w:t>)</w:t>
      </w:r>
      <w:r>
        <w:tab/>
        <w:t>Lloyds Bank plc;</w:t>
      </w:r>
    </w:p>
    <w:p w:rsidR="00F53BE7" w:rsidRDefault="00F53BE7" w:rsidP="00F53BE7">
      <w:pPr>
        <w:pStyle w:val="P2"/>
      </w:pPr>
      <w:r>
        <w:lastRenderedPageBreak/>
        <w:fldChar w:fldCharType="begin"/>
      </w:r>
      <w:r>
        <w:instrText xml:space="preserve"> XE "para2:N18A52:[P2" </w:instrText>
      </w:r>
      <w:r>
        <w:fldChar w:fldCharType="end"/>
      </w:r>
      <w:r>
        <w:t>(</w:t>
      </w:r>
      <w:r>
        <w:rPr>
          <w:i/>
          <w:iCs/>
        </w:rPr>
        <w:t>d</w:t>
      </w:r>
      <w:r>
        <w:t>)</w:t>
      </w:r>
      <w:r>
        <w:tab/>
        <w:t>HSBC Bank plc;</w:t>
      </w:r>
    </w:p>
    <w:p w:rsidR="00F53BE7" w:rsidRDefault="00F53BE7" w:rsidP="00F53BE7">
      <w:pPr>
        <w:pStyle w:val="P2"/>
      </w:pPr>
      <w:r>
        <w:fldChar w:fldCharType="begin"/>
      </w:r>
      <w:r>
        <w:instrText xml:space="preserve"> XE "para2:N18A5C:[P2" </w:instrText>
      </w:r>
      <w:r>
        <w:fldChar w:fldCharType="end"/>
      </w:r>
      <w:r>
        <w:t>(</w:t>
      </w:r>
      <w:r>
        <w:rPr>
          <w:i/>
          <w:iCs/>
        </w:rPr>
        <w:t>e</w:t>
      </w:r>
      <w:r>
        <w:t>)</w:t>
      </w:r>
      <w:r>
        <w:tab/>
        <w:t>National Westminster Bank plc;</w:t>
      </w:r>
    </w:p>
    <w:p w:rsidR="00F53BE7" w:rsidRDefault="00F53BE7" w:rsidP="00F53BE7">
      <w:pPr>
        <w:pStyle w:val="P2"/>
      </w:pPr>
      <w:r>
        <w:fldChar w:fldCharType="begin"/>
      </w:r>
      <w:r>
        <w:instrText xml:space="preserve"> XE "para2:N18A66:[P2" </w:instrText>
      </w:r>
      <w:r>
        <w:fldChar w:fldCharType="end"/>
      </w:r>
      <w:r>
        <w:t>(</w:t>
      </w:r>
      <w:r>
        <w:rPr>
          <w:i/>
          <w:iCs/>
        </w:rPr>
        <w:t>f</w:t>
      </w:r>
      <w:r>
        <w:t>)</w:t>
      </w:r>
      <w:r>
        <w:tab/>
        <w:t>The Royal Bank of Scotland plc,</w:t>
      </w:r>
    </w:p>
    <w:p w:rsidR="00F53BE7" w:rsidRDefault="00F53BE7" w:rsidP="00F53BE7">
      <w:pPr>
        <w:pStyle w:val="C1"/>
      </w:pPr>
      <w:r>
        <w:fldChar w:fldCharType="begin"/>
      </w:r>
      <w:r>
        <w:instrText xml:space="preserve"> XE "para-continued1:N18A70:[C1" </w:instrText>
      </w:r>
      <w:r>
        <w:fldChar w:fldCharType="end"/>
      </w:r>
      <w:r>
        <w:t>and, if the result is not a whole number, rounding the result to the nearest such number, with any result midway between two whole numbers rounded down.</w:t>
      </w:r>
    </w:p>
    <w:p w:rsidR="00F53BE7" w:rsidRDefault="00F53BE7" w:rsidP="00F53BE7">
      <w:pPr>
        <w:pStyle w:val="PHDR"/>
      </w:pPr>
      <w:r>
        <w:fldChar w:fldCharType="begin"/>
      </w:r>
      <w:r>
        <w:instrText xml:space="preserve"> XE "provision:N18A74:[PHDR" </w:instrText>
      </w:r>
      <w:r>
        <w:fldChar w:fldCharType="end"/>
      </w:r>
      <w:r>
        <w:t>3</w:t>
      </w:r>
      <w:r>
        <w:tab/>
        <w:t>Interest on overpayments of tax credit and penalties</w:t>
      </w:r>
    </w:p>
    <w:p w:rsidR="00F53BE7" w:rsidRDefault="00F53BE7" w:rsidP="00F53BE7">
      <w:pPr>
        <w:pStyle w:val="P1"/>
      </w:pPr>
      <w:r>
        <w:fldChar w:fldCharType="begin"/>
      </w:r>
      <w:r>
        <w:instrText xml:space="preserve"> XE "para1:N18A94:[P1" </w:instrText>
      </w:r>
      <w:r>
        <w:fldChar w:fldCharType="end"/>
      </w:r>
      <w:r>
        <w:t>(1)</w:t>
      </w:r>
      <w:r>
        <w:tab/>
        <w:t>Where the Board decide in accordance with section 37(1) of the Tax Credits Act 2002 that the whole or part of an overpayment of a tax credit which is attributable to fraud or neglect is to carry interest, the rate of interest for the purposes of section 37(2) of that Act is that prescribed by regulation 4.</w:t>
      </w:r>
    </w:p>
    <w:p w:rsidR="00F53BE7" w:rsidRDefault="00F53BE7" w:rsidP="00F53BE7">
      <w:pPr>
        <w:pStyle w:val="P1"/>
      </w:pPr>
      <w:r>
        <w:fldChar w:fldCharType="begin"/>
      </w:r>
      <w:r>
        <w:instrText xml:space="preserve"> XE "para1:N18A9A:[P1" </w:instrText>
      </w:r>
      <w:r>
        <w:fldChar w:fldCharType="end"/>
      </w:r>
      <w:r>
        <w:t>(2)</w:t>
      </w:r>
      <w:r>
        <w:tab/>
        <w:t>The rate of interest for the purposes of section 37(5) of the Tax Credits Act 2002 (interest on a penalty under any of sections 31 to 33 of that Act) is that prescribed by regulation 4.</w:t>
      </w:r>
    </w:p>
    <w:p w:rsidR="00F53BE7" w:rsidRDefault="00F53BE7" w:rsidP="00F53BE7">
      <w:pPr>
        <w:pStyle w:val="PHDR"/>
      </w:pPr>
      <w:r>
        <w:fldChar w:fldCharType="begin"/>
      </w:r>
      <w:r>
        <w:instrText xml:space="preserve"> XE "provision:N18AA0:[PHDR" </w:instrText>
      </w:r>
      <w:r>
        <w:fldChar w:fldCharType="end"/>
      </w:r>
      <w:r>
        <w:t>4</w:t>
      </w:r>
      <w:r>
        <w:tab/>
        <w:t>Prescribed rate of interest</w:t>
      </w:r>
    </w:p>
    <w:p w:rsidR="00F53BE7" w:rsidRDefault="00F53BE7" w:rsidP="00F53BE7">
      <w:pPr>
        <w:pStyle w:val="P1"/>
      </w:pPr>
      <w:r>
        <w:fldChar w:fldCharType="begin"/>
      </w:r>
      <w:r>
        <w:instrText xml:space="preserve"> XE "para1:N18AC0:[P1" </w:instrText>
      </w:r>
      <w:r>
        <w:fldChar w:fldCharType="end"/>
      </w:r>
      <w:r>
        <w:t>(1)</w:t>
      </w:r>
      <w:r>
        <w:tab/>
        <w:t>The rate of interest which is prescribed is, subject to paragraph (2), 6.5 per cent per annum.</w:t>
      </w:r>
    </w:p>
    <w:p w:rsidR="00F53BE7" w:rsidRDefault="00F53BE7" w:rsidP="00F53BE7">
      <w:pPr>
        <w:pStyle w:val="P1"/>
      </w:pPr>
      <w:r>
        <w:fldChar w:fldCharType="begin"/>
      </w:r>
      <w:r>
        <w:instrText xml:space="preserve"> XE "para1:N18AC6:[P1" </w:instrText>
      </w:r>
      <w:r>
        <w:fldChar w:fldCharType="end"/>
      </w:r>
      <w:r>
        <w:t>(2)</w:t>
      </w:r>
      <w:r>
        <w:tab/>
        <w:t>Where, on a reference date after the coming into force of these Regulations, the reference rate found on that date (“RR”) differs from the established rate, the rate of interest which is prescribed shall, on and after the next operative date, be the percentage per annum found by applying the formula—</w:t>
      </w:r>
    </w:p>
    <w:p w:rsidR="00F53BE7" w:rsidRDefault="00F53BE7" w:rsidP="00F53BE7">
      <w:pPr>
        <w:pStyle w:val="n-Equation"/>
      </w:pPr>
      <w:r>
        <w:fldChar w:fldCharType="begin"/>
      </w:r>
      <w:r>
        <w:instrText xml:space="preserve"> XE "para1:N18ACC:n-Equation" </w:instrText>
      </w:r>
      <w:r>
        <w:fldChar w:fldCharType="end"/>
      </w:r>
      <w:r>
        <w:rPr>
          <w:noProof/>
          <w:sz w:val="44"/>
        </w:rPr>
        <w:drawing>
          <wp:inline distT="0" distB="0" distL="0" distR="0">
            <wp:extent cx="561975" cy="190500"/>
            <wp:effectExtent l="0" t="0" r="9525" b="0"/>
            <wp:docPr id="1" name="Picture 1" descr="Image1441971213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441971213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190500"/>
                    </a:xfrm>
                    <a:prstGeom prst="rect">
                      <a:avLst/>
                    </a:prstGeom>
                    <a:noFill/>
                    <a:ln>
                      <a:noFill/>
                    </a:ln>
                  </pic:spPr>
                </pic:pic>
              </a:graphicData>
            </a:graphic>
          </wp:inline>
        </w:drawing>
      </w:r>
    </w:p>
    <w:p w:rsidR="00745DC2" w:rsidRDefault="00F53BE7">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BE7"/>
    <w:rsid w:val="006A35F9"/>
    <w:rsid w:val="00C7342F"/>
    <w:rsid w:val="00F53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quation">
    <w:name w:val="n-Equation"/>
    <w:basedOn w:val="Normal"/>
    <w:autoRedefine/>
    <w:rsid w:val="00F53BE7"/>
    <w:pPr>
      <w:tabs>
        <w:tab w:val="left" w:pos="567"/>
      </w:tabs>
      <w:spacing w:before="120" w:after="0" w:line="240" w:lineRule="auto"/>
    </w:pPr>
    <w:rPr>
      <w:rFonts w:ascii="Arial" w:eastAsia="Times New Roman" w:hAnsi="Arial" w:cs="Times New Roman"/>
      <w:sz w:val="20"/>
      <w:szCs w:val="20"/>
      <w:lang w:eastAsia="en-GB"/>
    </w:rPr>
  </w:style>
  <w:style w:type="paragraph" w:customStyle="1" w:styleId="TTL">
    <w:name w:val="[TTL"/>
    <w:rsid w:val="00F53BE7"/>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F53BE7"/>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F53BE7"/>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F53BE7"/>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F53BE7"/>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F53BE7"/>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F53BE7"/>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F53BE7"/>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F53BE7"/>
    <w:pPr>
      <w:spacing w:before="240" w:after="0" w:line="240" w:lineRule="auto"/>
    </w:pPr>
    <w:rPr>
      <w:rFonts w:ascii="Arial" w:eastAsia="Times New Roman" w:hAnsi="Arial" w:cs="Times New Roman"/>
      <w:sz w:val="20"/>
      <w:szCs w:val="20"/>
      <w:lang w:eastAsia="en-GB"/>
    </w:rPr>
  </w:style>
  <w:style w:type="paragraph" w:customStyle="1" w:styleId="P2">
    <w:name w:val="[P2"/>
    <w:rsid w:val="00F53BE7"/>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F53BE7"/>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F53BE7"/>
    <w:pPr>
      <w:tabs>
        <w:tab w:val="left" w:pos="567"/>
      </w:tabs>
      <w:spacing w:before="240" w:after="0" w:line="240" w:lineRule="auto"/>
    </w:pPr>
    <w:rPr>
      <w:rFonts w:ascii="Arial" w:eastAsia="Times New Roman" w:hAnsi="Arial" w:cs="Times New Roman"/>
      <w:sz w:val="20"/>
      <w:szCs w:val="20"/>
      <w:lang w:eastAsia="en-GB"/>
    </w:rPr>
  </w:style>
  <w:style w:type="paragraph" w:customStyle="1" w:styleId="DEFINITIONB">
    <w:name w:val="[DEFINITIONB"/>
    <w:rsid w:val="00F53BE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F53BE7"/>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styleId="BalloonText">
    <w:name w:val="Balloon Text"/>
    <w:basedOn w:val="Normal"/>
    <w:link w:val="BalloonTextChar"/>
    <w:uiPriority w:val="99"/>
    <w:semiHidden/>
    <w:unhideWhenUsed/>
    <w:rsid w:val="00F53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B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quation">
    <w:name w:val="n-Equation"/>
    <w:basedOn w:val="Normal"/>
    <w:autoRedefine/>
    <w:rsid w:val="00F53BE7"/>
    <w:pPr>
      <w:tabs>
        <w:tab w:val="left" w:pos="567"/>
      </w:tabs>
      <w:spacing w:before="120" w:after="0" w:line="240" w:lineRule="auto"/>
    </w:pPr>
    <w:rPr>
      <w:rFonts w:ascii="Arial" w:eastAsia="Times New Roman" w:hAnsi="Arial" w:cs="Times New Roman"/>
      <w:sz w:val="20"/>
      <w:szCs w:val="20"/>
      <w:lang w:eastAsia="en-GB"/>
    </w:rPr>
  </w:style>
  <w:style w:type="paragraph" w:customStyle="1" w:styleId="TTL">
    <w:name w:val="[TTL"/>
    <w:rsid w:val="00F53BE7"/>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F53BE7"/>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F53BE7"/>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F53BE7"/>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F53BE7"/>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F53BE7"/>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F53BE7"/>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F53BE7"/>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F53BE7"/>
    <w:pPr>
      <w:spacing w:before="240" w:after="0" w:line="240" w:lineRule="auto"/>
    </w:pPr>
    <w:rPr>
      <w:rFonts w:ascii="Arial" w:eastAsia="Times New Roman" w:hAnsi="Arial" w:cs="Times New Roman"/>
      <w:sz w:val="20"/>
      <w:szCs w:val="20"/>
      <w:lang w:eastAsia="en-GB"/>
    </w:rPr>
  </w:style>
  <w:style w:type="paragraph" w:customStyle="1" w:styleId="P2">
    <w:name w:val="[P2"/>
    <w:rsid w:val="00F53BE7"/>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F53BE7"/>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F53BE7"/>
    <w:pPr>
      <w:tabs>
        <w:tab w:val="left" w:pos="567"/>
      </w:tabs>
      <w:spacing w:before="240" w:after="0" w:line="240" w:lineRule="auto"/>
    </w:pPr>
    <w:rPr>
      <w:rFonts w:ascii="Arial" w:eastAsia="Times New Roman" w:hAnsi="Arial" w:cs="Times New Roman"/>
      <w:sz w:val="20"/>
      <w:szCs w:val="20"/>
      <w:lang w:eastAsia="en-GB"/>
    </w:rPr>
  </w:style>
  <w:style w:type="paragraph" w:customStyle="1" w:styleId="DEFINITIONB">
    <w:name w:val="[DEFINITIONB"/>
    <w:rsid w:val="00F53BE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F53BE7"/>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styleId="BalloonText">
    <w:name w:val="Balloon Text"/>
    <w:basedOn w:val="Normal"/>
    <w:link w:val="BalloonTextChar"/>
    <w:uiPriority w:val="99"/>
    <w:semiHidden/>
    <w:unhideWhenUsed/>
    <w:rsid w:val="00F53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B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2015-09-15T14:02:00Z</dcterms:created>
  <dcterms:modified xsi:type="dcterms:W3CDTF">2015-09-15T14:02:00Z</dcterms:modified>
</cp:coreProperties>
</file>