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AD" w:rsidRDefault="00F90DAD" w:rsidP="00F90DAD">
      <w:pPr>
        <w:pStyle w:val="SNUM"/>
      </w:pPr>
      <w:r>
        <w:t>2002/1727</w:t>
      </w:r>
    </w:p>
    <w:p w:rsidR="00F90DAD" w:rsidRDefault="00F90DAD" w:rsidP="00F90DAD">
      <w:pPr>
        <w:pStyle w:val="TTL-SI"/>
      </w:pPr>
      <w:r>
        <w:t>Tax Credits Act 2002 (Commencement No 1) Order 2002</w:t>
      </w:r>
    </w:p>
    <w:p w:rsidR="00F90DAD" w:rsidRDefault="00F90DAD" w:rsidP="00F90DAD">
      <w:pPr>
        <w:pStyle w:val="RECIT"/>
      </w:pPr>
      <w:r>
        <w:t>Made by the Treasury under TCA 2002 ss 61, 62</w:t>
      </w:r>
    </w:p>
    <w:p w:rsidR="00F90DAD" w:rsidRDefault="00F90DAD" w:rsidP="00F90DAD">
      <w:pPr>
        <w:pStyle w:val="MADE"/>
      </w:pPr>
      <w:r>
        <w:t>Made 8 July 2002</w:t>
      </w:r>
    </w:p>
    <w:p w:rsidR="00F90DAD" w:rsidRDefault="00F90DAD" w:rsidP="00F90DAD">
      <w:pPr>
        <w:pStyle w:val="PRELE"/>
      </w:pPr>
      <w:r>
        <w:t>[PRELE</w:t>
      </w:r>
    </w:p>
    <w:p w:rsidR="00F90DAD" w:rsidRDefault="00F90DAD" w:rsidP="00F90DAD">
      <w:pPr>
        <w:pStyle w:val="MAINB"/>
      </w:pPr>
      <w:r>
        <w:t>[MAINB</w:t>
      </w:r>
    </w:p>
    <w:p w:rsidR="00F90DAD" w:rsidRDefault="00F90DAD" w:rsidP="00F90DAD">
      <w:pPr>
        <w:pStyle w:val="PHDR"/>
      </w:pPr>
      <w:r>
        <w:t>1</w:t>
      </w:r>
      <w:r>
        <w:tab/>
        <w:t>Citation and interpretation</w:t>
      </w:r>
    </w:p>
    <w:p w:rsidR="00F90DAD" w:rsidRDefault="00F90DAD" w:rsidP="00F90DAD">
      <w:pPr>
        <w:pStyle w:val="P1"/>
      </w:pPr>
      <w:r>
        <w:t>(1)</w:t>
      </w:r>
      <w:r>
        <w:tab/>
        <w:t>This Order may be cited as the Tax Credits Act 2002 (Commencement No. 1) Order 2002.</w:t>
      </w:r>
    </w:p>
    <w:p w:rsidR="00F90DAD" w:rsidRDefault="00F90DAD" w:rsidP="00F90DAD">
      <w:pPr>
        <w:pStyle w:val="P1"/>
      </w:pPr>
      <w:r>
        <w:t>(2)</w:t>
      </w:r>
      <w:r>
        <w:tab/>
        <w:t>In this Order—</w:t>
      </w:r>
    </w:p>
    <w:p w:rsidR="00F90DAD" w:rsidRDefault="00F90DAD" w:rsidP="00F90DAD">
      <w:pPr>
        <w:pStyle w:val="DEFINITIONB"/>
      </w:pPr>
      <w:r>
        <w:t>[DEFINITIONB</w:t>
      </w:r>
    </w:p>
    <w:p w:rsidR="00F90DAD" w:rsidRDefault="00F90DAD" w:rsidP="00F90DAD">
      <w:pPr>
        <w:pStyle w:val="P2"/>
      </w:pPr>
      <w:r>
        <w:t>“the Act” means the Tax Credits Act 2002;</w:t>
      </w:r>
    </w:p>
    <w:p w:rsidR="00F90DAD" w:rsidRDefault="00F90DAD" w:rsidP="00F90DAD">
      <w:pPr>
        <w:pStyle w:val="P2"/>
      </w:pPr>
      <w:r>
        <w:t>“award” means an award of a tax credit for a period commencing on or after 6th April 2003.</w:t>
      </w:r>
    </w:p>
    <w:p w:rsidR="00F90DAD" w:rsidRDefault="00F90DAD" w:rsidP="00F90DAD">
      <w:pPr>
        <w:pStyle w:val="DEFINITIONE"/>
      </w:pPr>
      <w:r>
        <w:t>[DEFINITIONE</w:t>
      </w:r>
    </w:p>
    <w:p w:rsidR="00F90DAD" w:rsidRDefault="00F90DAD" w:rsidP="00F90DAD">
      <w:pPr>
        <w:pStyle w:val="PHDR"/>
      </w:pPr>
      <w:r>
        <w:t>2</w:t>
      </w:r>
      <w:r>
        <w:tab/>
        <w:t>Commencement of certain provisions of the Act</w:t>
      </w:r>
    </w:p>
    <w:p w:rsidR="00F90DAD" w:rsidRDefault="00F90DAD" w:rsidP="00F90DAD">
      <w:pPr>
        <w:pStyle w:val="P1"/>
      </w:pPr>
      <w:r>
        <w:t>The following provisions of the Act come into force on the dates and for the purposes mentioned in relation to each provision:</w:t>
      </w:r>
    </w:p>
    <w:tbl>
      <w:tblPr>
        <w:tblW w:w="0" w:type="auto"/>
        <w:tblLook w:val="04A0" w:firstRow="1" w:lastRow="0" w:firstColumn="1" w:lastColumn="0" w:noHBand="0" w:noVBand="1"/>
      </w:tblPr>
      <w:tblGrid>
        <w:gridCol w:w="2992"/>
        <w:gridCol w:w="1994"/>
        <w:gridCol w:w="4256"/>
      </w:tblGrid>
      <w:tr w:rsidR="00F90DAD" w:rsidTr="009E7E40">
        <w:tblPrEx>
          <w:tblCellMar>
            <w:top w:w="0" w:type="dxa"/>
            <w:bottom w:w="0" w:type="dxa"/>
          </w:tblCellMar>
        </w:tblPrEx>
        <w:trPr>
          <w:trHeight w:val="194"/>
        </w:trPr>
        <w:tc>
          <w:tcPr>
            <w:tcW w:w="3460" w:type="dxa"/>
            <w:vMerge w:val="restart"/>
            <w:tcBorders>
              <w:top w:val="single" w:sz="6" w:space="0" w:color="auto"/>
              <w:bottom w:val="single" w:sz="6" w:space="0" w:color="auto"/>
              <w:right w:val="single" w:sz="6" w:space="0" w:color="auto"/>
            </w:tcBorders>
          </w:tcPr>
          <w:p w:rsidR="00F90DAD" w:rsidRDefault="00F90DAD" w:rsidP="009E7E40">
            <w:pPr>
              <w:pStyle w:val="n-Para"/>
            </w:pPr>
            <w:r>
              <w:rPr>
                <w:i/>
              </w:rPr>
              <w:t>Provision</w:t>
            </w:r>
          </w:p>
        </w:tc>
        <w:tc>
          <w:tcPr>
            <w:tcW w:w="2162" w:type="dxa"/>
            <w:vMerge w:val="restart"/>
            <w:tcBorders>
              <w:top w:val="single" w:sz="6" w:space="0" w:color="auto"/>
              <w:bottom w:val="single" w:sz="6" w:space="0" w:color="auto"/>
              <w:right w:val="single" w:sz="6" w:space="0" w:color="auto"/>
            </w:tcBorders>
          </w:tcPr>
          <w:p w:rsidR="00F90DAD" w:rsidRDefault="00F90DAD" w:rsidP="009E7E40">
            <w:pPr>
              <w:pStyle w:val="n-Para"/>
            </w:pPr>
            <w:r>
              <w:rPr>
                <w:i/>
              </w:rPr>
              <w:t>Date</w:t>
            </w:r>
          </w:p>
        </w:tc>
        <w:tc>
          <w:tcPr>
            <w:tcW w:w="5190" w:type="dxa"/>
            <w:vMerge w:val="restart"/>
            <w:tcBorders>
              <w:top w:val="single" w:sz="6" w:space="0" w:color="auto"/>
              <w:bottom w:val="single" w:sz="6" w:space="0" w:color="auto"/>
            </w:tcBorders>
          </w:tcPr>
          <w:p w:rsidR="00F90DAD" w:rsidRDefault="00F90DAD" w:rsidP="009E7E40">
            <w:pPr>
              <w:pStyle w:val="n-Para"/>
            </w:pPr>
            <w:r>
              <w:rPr>
                <w:i/>
              </w:rPr>
              <w:t>Purposes</w:t>
            </w:r>
          </w:p>
        </w:tc>
      </w:tr>
      <w:tr w:rsidR="00F90DAD" w:rsidTr="009E7E40">
        <w:tblPrEx>
          <w:tblCellMar>
            <w:top w:w="0" w:type="dxa"/>
            <w:bottom w:w="0" w:type="dxa"/>
          </w:tblCellMar>
        </w:tblPrEx>
        <w:trPr>
          <w:trHeight w:val="194"/>
        </w:trPr>
        <w:tc>
          <w:tcPr>
            <w:tcW w:w="3460" w:type="dxa"/>
            <w:vMerge w:val="restart"/>
            <w:tcBorders>
              <w:top w:val="single" w:sz="6" w:space="0" w:color="auto"/>
              <w:right w:val="single" w:sz="6" w:space="0" w:color="auto"/>
            </w:tcBorders>
          </w:tcPr>
          <w:p w:rsidR="00F90DAD" w:rsidRDefault="00F90DAD" w:rsidP="009E7E40">
            <w:pPr>
              <w:pStyle w:val="n-Para"/>
            </w:pPr>
            <w:r>
              <w:t>Section 1(1) and (2) (introductory)</w:t>
            </w:r>
          </w:p>
        </w:tc>
        <w:tc>
          <w:tcPr>
            <w:tcW w:w="2162" w:type="dxa"/>
            <w:vMerge w:val="restart"/>
            <w:tcBorders>
              <w:top w:val="single" w:sz="6" w:space="0" w:color="auto"/>
              <w:right w:val="single" w:sz="6" w:space="0" w:color="auto"/>
            </w:tcBorders>
          </w:tcPr>
          <w:p w:rsidR="00F90DAD" w:rsidRDefault="00F90DAD" w:rsidP="009E7E40">
            <w:pPr>
              <w:pStyle w:val="n-Para"/>
            </w:pPr>
            <w:r>
              <w:t>9th July 2002</w:t>
            </w:r>
          </w:p>
        </w:tc>
        <w:tc>
          <w:tcPr>
            <w:tcW w:w="5190" w:type="dxa"/>
            <w:vMerge w:val="restart"/>
            <w:tcBorders>
              <w:top w:val="single" w:sz="6" w:space="0" w:color="auto"/>
            </w:tcBorders>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 (functions of Board)</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 and (3) (claims)</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 about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 and (3)</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 and (3)</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 and (3)</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All other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3(2)(</w:t>
            </w:r>
            <w:r>
              <w:rPr>
                <w:i/>
              </w:rPr>
              <w:t>a</w:t>
            </w:r>
            <w:r>
              <w:t>)</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All purposes of Part 1 of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3(2)(</w:t>
            </w:r>
            <w:r>
              <w:rPr>
                <w:i/>
              </w:rPr>
              <w:t>b</w:t>
            </w:r>
            <w:r>
              <w:t>)</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Entitlement to make a claim</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3(5) to (8)</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All purposes of Part 1 of the Act and, as respects tax credit,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4(1) (claims—supplementary)</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4(2)</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All purposes mentioned in section 4(2)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5(1) and (3) (Period of awards)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 made before beginning of tax year</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5(2) and (3)</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Making decisions on other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6 (notifications of changes of circumstances)</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7(1) to (5) (income test)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7(1) to (5)</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7(1) to (5)</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7(1) to (5)</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7(6) to (9)</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7(10)</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Estimating income for the purposes of making, amending or terminating awards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 8 (entitlement to child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8</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8</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8</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9 (maximum rate child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9</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9</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9</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10 (entitlement to working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10</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10</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10</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11 (maximum rate working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11</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11</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11</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12(1) to (5) (child care element working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12(1) to (5)</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12 (1) to (5)</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12(1) to (5)</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12(5) to (8)</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schemes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13 (rate of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13</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13</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13</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14(1) and (3) (initial decisions on claims)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14(2)</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14(2)</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Dealing with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15(1) (revised decisions after notifications)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whether to amend awards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15(2)</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15(2)</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Dealing with notifications of change of circumstances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16(1) (other revised decisions)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whether to amend or terminate awards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16(2) and (3)</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Giving of notice under section 16(2) and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16(3)</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17(1) to (9) (final notice)</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Giving final notice on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17(10)</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18 (decisions after final notice)</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Making decisions after final notice</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 19 (power to enquire into awards)</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Enquiring into awards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19(2)</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20 (decisions on discovery)</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Making decisions under section 20(1) and (4)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21 (decisions subject to official error)</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 for the purposes of revising decisions under sections 14(1), 15(1), 16(1), 18(1), (5), (6) and (9), 19(3) and 20(1) and (4)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22 (information etc. requirements— supplementary)</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23 (notice of decisions)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Giving notices of decisions under sections 14(1), 15(1) and 16(1) of the Act, and of revised decisions under those sections by virtue of regulations under section 21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23</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Giving notices of decisions under sections 18(1), (5), (6) and (9), 19(3) and 20(1) and (4) of the Act, and of revised decisions under those sections by virtue of regulations under section 21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24 (payments of a tax credit)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24</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Making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24</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decisions on claims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24</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Entitlement to payment of award</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25(1), (2) and (5) to (7) (payments of working tax credit by employers)</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25(3), (4), and (5)</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Power to call for documents etc. in relation to employer's compliance with regulations under section 25</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26 (liability of officers for sums paid to employers)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27 and Schedule 1 (rights of employees)</w:t>
            </w:r>
          </w:p>
        </w:tc>
        <w:tc>
          <w:tcPr>
            <w:tcW w:w="2162" w:type="dxa"/>
            <w:vMerge w:val="restart"/>
            <w:tcBorders>
              <w:right w:val="single" w:sz="6" w:space="0" w:color="auto"/>
            </w:tcBorders>
          </w:tcPr>
          <w:p w:rsidR="00F90DAD" w:rsidRDefault="00F90DAD" w:rsidP="009E7E40">
            <w:pPr>
              <w:pStyle w:val="n-Para"/>
            </w:pPr>
            <w:r>
              <w:t>1st September 2002</w:t>
            </w:r>
          </w:p>
        </w:tc>
        <w:tc>
          <w:tcPr>
            <w:tcW w:w="5190" w:type="dxa"/>
            <w:vMerge w:val="restart"/>
          </w:tcPr>
          <w:p w:rsidR="00F90DAD" w:rsidRDefault="00F90DAD" w:rsidP="009E7E40">
            <w:pPr>
              <w:pStyle w:val="n-Para"/>
            </w:pPr>
            <w:r>
              <w:t>Rights conferred on employees by virtue of regulations under section 25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28 to 30 (overpayments, recovery of overpayments and underpayments of a tax credit)</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Liability to repay overpayments or to be paid full entitlement where underpayment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30 (underpayments)</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Making regulations under section 30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 (incorrect statements etc)</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Imposition of penalties for incorrect information or evidence in response to a requirement imposed by virtue of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31</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penalties for incorrect information or evidence in response to a requirement imposed by virtue of section 18(10) or 19(2) of the Act, or for incorrect statement or declaration in response to a notice under section 17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32 (failure to comply with requirements)</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 xml:space="preserve">Imposition of penalty for failure to provide information or evidence required by regulations </w:t>
            </w:r>
            <w:r>
              <w:lastRenderedPageBreak/>
              <w:t>under section 25 of the Act, or for failure to give notification required by regulations under section 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 32</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Imposition of penalty for failure to provide information or evidence under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32</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penalty for failure to provide information or evidence under section 18(10) or 19(2) of the Act, or to comply with requirement imposed by notice under section 17 of the Act by virtue of subsection (2)(a), (4)(a) or (6)(a) of that section</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33 (failure by employers to make correct payments)</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penalty for failure by employer to make correct payment to employee</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 (penalties—supplementary)</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Imposition of penalties under section 32(2)(</w:t>
            </w:r>
            <w:r>
              <w:rPr>
                <w:i/>
              </w:rPr>
              <w:t>b</w:t>
            </w:r>
            <w:r>
              <w:t>) or (3) of the Act for failure to provide information or evidence required by regulations under section 25 of the Act, or for failure to give notification required by regulations under section 6(3) of the Act; bringing of proceedings for penalties under section 32(2)(</w:t>
            </w:r>
            <w:r>
              <w:rPr>
                <w:i/>
              </w:rPr>
              <w:t>a</w:t>
            </w:r>
            <w:r>
              <w:t>) before Commissioners for failure to provide information or evidence required by regulations under section 25 of the Act;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Imposition of penalties under section 32(2)(</w:t>
            </w:r>
            <w:r>
              <w:rPr>
                <w:i/>
              </w:rPr>
              <w:t>b</w:t>
            </w:r>
            <w:r>
              <w:t>) of the Act for failure to provide information or evidence under section 14(2), 15(2) or 16(3) of the Act; bringing of proceedings for such penalties under section 32(2)(</w:t>
            </w:r>
            <w:r>
              <w:rPr>
                <w:i/>
              </w:rPr>
              <w:t>a</w:t>
            </w:r>
            <w:r>
              <w:t>) before Commissioners;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34 and Schedule 2</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penalties under section 32(2)(</w:t>
            </w:r>
            <w:r>
              <w:rPr>
                <w:i/>
              </w:rPr>
              <w:t>b</w:t>
            </w:r>
            <w:r>
              <w:t>) of the Act for failure to provide information or evidence under section 18(10) or 19(2) of the Act, or for failure to comply with requirement imposed by notice under section 17 of the Act by virtue of subsection (2)(</w:t>
            </w:r>
            <w:r>
              <w:rPr>
                <w:i/>
              </w:rPr>
              <w:t>a</w:t>
            </w:r>
            <w:r>
              <w:t>), (4)(</w:t>
            </w:r>
            <w:r>
              <w:rPr>
                <w:i/>
              </w:rPr>
              <w:t>a</w:t>
            </w:r>
            <w:r>
              <w:t>) or (6)(</w:t>
            </w:r>
            <w:r>
              <w:rPr>
                <w:i/>
              </w:rPr>
              <w:t>a</w:t>
            </w:r>
            <w:r>
              <w:t>) of that section; bringing of proceedings for such penalties under section 32(2)(</w:t>
            </w:r>
            <w:r>
              <w:rPr>
                <w:i/>
              </w:rPr>
              <w:t>a</w:t>
            </w:r>
            <w:r>
              <w:t xml:space="preserve">) before Commissioners; mitigation of such penalties, </w:t>
            </w:r>
            <w:r>
              <w:lastRenderedPageBreak/>
              <w:t>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 34 and Schedule 2</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Imposition of penalties under section 33 of the Act for failure by employer to make correct payment to employee; mitigation of such penalties, appeals against such penalties and recovery of such penalties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35 (offence of fraud)</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Instituting criminal proceedings for fraud in connection with obtaining payments of a tax credit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36 (powers in relation to documents)</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Obtaining of documents in relation to offences involving fraud or serious fraud in connection with, or in relation to, tax credits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37(1) to (4) and (6) (interest)</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Interest on overpayment of a tax credit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37(2) and (5)</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 to prescribe rates of interest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Interest on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Interest on penalties under section 31 of the Act for incorrect information or evidence in response to a requirement imposed by virtue of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Interest on penalties under section 32 of the Act for failure to provide information or evidence required by regulations under section 25 of the Act, or for failure to give notification required by regulations under section 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Interest on penalties under section 32 of the Act for failure to provide information or evidence under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 (5) and (6)</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Interest on penalties under section 32 of the Act for failure to provide information or evidence under section 18(10) or 19(2) of the Act, or to comply with requirement imposed by notice under section 17 of the Act by virtue of subsection (2)(</w:t>
            </w:r>
            <w:r>
              <w:rPr>
                <w:i/>
              </w:rPr>
              <w:t>a</w:t>
            </w:r>
            <w:r>
              <w:t>), (4)(a) or (6)(</w:t>
            </w:r>
            <w:r>
              <w:rPr>
                <w:i/>
              </w:rPr>
              <w:t>a</w:t>
            </w:r>
            <w:r>
              <w:t>) of that section</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37(5) and (6)</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Interest on penalties under section 33 of the Act for failure by employer to make correct payment to employee</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 (appeals and exercise of right of appeal)</w:t>
            </w:r>
          </w:p>
        </w:tc>
        <w:tc>
          <w:tcPr>
            <w:tcW w:w="2162" w:type="dxa"/>
            <w:vMerge w:val="restart"/>
            <w:tcBorders>
              <w:right w:val="single" w:sz="6" w:space="0" w:color="auto"/>
            </w:tcBorders>
          </w:tcPr>
          <w:p w:rsidR="00F90DAD" w:rsidRDefault="00F90DAD" w:rsidP="009E7E40">
            <w:pPr>
              <w:pStyle w:val="n-Para"/>
            </w:pPr>
            <w:r>
              <w:t>1st September 2002</w:t>
            </w:r>
          </w:p>
        </w:tc>
        <w:tc>
          <w:tcPr>
            <w:tcW w:w="5190" w:type="dxa"/>
            <w:vMerge w:val="restart"/>
          </w:tcPr>
          <w:p w:rsidR="00F90DAD" w:rsidRDefault="00F90DAD" w:rsidP="009E7E40">
            <w:pPr>
              <w:pStyle w:val="n-Para"/>
            </w:pP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 xml:space="preserve">Appeal against determination of penalty under paragraph 1 of Schedule 2 to the Act where the </w:t>
            </w:r>
            <w:r>
              <w:lastRenderedPageBreak/>
              <w:t>penalty is imposed under section 31 of the Act for incorrect information or evidence in response to a requirement imposed by virtue of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Sections 38 and 39</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1st September 2002</w:t>
            </w:r>
          </w:p>
        </w:tc>
        <w:tc>
          <w:tcPr>
            <w:tcW w:w="5190" w:type="dxa"/>
            <w:vMerge w:val="restart"/>
          </w:tcPr>
          <w:p w:rsidR="00F90DAD" w:rsidRDefault="00F90DAD" w:rsidP="009E7E40">
            <w:pPr>
              <w:pStyle w:val="n-Para"/>
            </w:pPr>
            <w:r>
              <w:t>Appeal against determination of penalty under paragraph 1 of Schedule 2 to the Act where the penalty is imposed under section 32(2)(</w:t>
            </w:r>
            <w:r>
              <w:rPr>
                <w:i/>
              </w:rPr>
              <w:t>b</w:t>
            </w:r>
            <w:r>
              <w:t>) or (3) of the Act for failure to provide information or evidence required by regulations under section 25 of the Act, or for failure to give notification required by regulations under section 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Appeal against determination of penalty under paragraph 1 of Schedule 2 to the Act where the penalty is imposed under section 32(2)(</w:t>
            </w:r>
            <w:r>
              <w:rPr>
                <w:i/>
              </w:rPr>
              <w:t>b</w:t>
            </w:r>
            <w:r>
              <w:t>) of the Act for failure to provide information or evidence under section 14(2), 15(2) or 16(3)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Appeal against determination of penalty under paragraph 1 of Schedule 2 to the Act where the penalty is imposed under section 32(2)(</w:t>
            </w:r>
            <w:r>
              <w:rPr>
                <w:i/>
              </w:rPr>
              <w:t>b</w:t>
            </w:r>
            <w:r>
              <w:t>) of the Act for failure to provide information or evidence under section 18(10) or 19(2) of the Act, or to comply with requirement imposed by notice under section 17 of the Act by virtue of subsection (2)(</w:t>
            </w:r>
            <w:r>
              <w:rPr>
                <w:i/>
              </w:rPr>
              <w:t>a</w:t>
            </w:r>
            <w:r>
              <w:t>), (4)(</w:t>
            </w:r>
            <w:r>
              <w:rPr>
                <w:i/>
              </w:rPr>
              <w:t>a</w:t>
            </w:r>
            <w:r>
              <w:t>) or (6)(</w:t>
            </w:r>
            <w:r>
              <w:rPr>
                <w:i/>
              </w:rPr>
              <w:t>a</w:t>
            </w:r>
            <w:r>
              <w:t>) of that section</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Appeal against a determination of a penalty under paragraph 1 of Schedule 2 to the Act where the penalty is imposed under section 33 of the Act for failure by employer to make correct payment to employee</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Appeal against a decision under section 14(1), 15(1) or 16(1) of the Act, or under regulations under section 21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38 and 39</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Appeal against a decision under section 18 (falling within section 38(1)(</w:t>
            </w:r>
            <w:r>
              <w:rPr>
                <w:i/>
              </w:rPr>
              <w:t>b</w:t>
            </w:r>
            <w:r>
              <w:t>)), 19(3), 20(1) to (4) or 37(1)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40 (annual reports)</w:t>
            </w:r>
          </w:p>
        </w:tc>
        <w:tc>
          <w:tcPr>
            <w:tcW w:w="2162" w:type="dxa"/>
            <w:vMerge w:val="restart"/>
            <w:tcBorders>
              <w:right w:val="single" w:sz="6" w:space="0" w:color="auto"/>
            </w:tcBorders>
          </w:tcPr>
          <w:p w:rsidR="00F90DAD" w:rsidRDefault="00F90DAD" w:rsidP="009E7E40">
            <w:pPr>
              <w:pStyle w:val="n-Para"/>
            </w:pPr>
            <w:r>
              <w:t>6th April 2004</w:t>
            </w:r>
          </w:p>
        </w:tc>
        <w:tc>
          <w:tcPr>
            <w:tcW w:w="5190" w:type="dxa"/>
            <w:vMerge w:val="restart"/>
          </w:tcPr>
          <w:p w:rsidR="00F90DAD" w:rsidRDefault="00F90DAD" w:rsidP="009E7E40">
            <w:pPr>
              <w:pStyle w:val="n-Para"/>
            </w:pPr>
            <w:r>
              <w:t>Making of annual report by the Board to the Treasury</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41 (annual review)</w:t>
            </w:r>
          </w:p>
        </w:tc>
        <w:tc>
          <w:tcPr>
            <w:tcW w:w="2162" w:type="dxa"/>
            <w:vMerge w:val="restart"/>
            <w:tcBorders>
              <w:right w:val="single" w:sz="6" w:space="0" w:color="auto"/>
            </w:tcBorders>
          </w:tcPr>
          <w:p w:rsidR="00F90DAD" w:rsidRDefault="00F90DAD" w:rsidP="009E7E40">
            <w:pPr>
              <w:pStyle w:val="n-Para"/>
            </w:pPr>
            <w:r>
              <w:t>6th April 2003</w:t>
            </w:r>
          </w:p>
        </w:tc>
        <w:tc>
          <w:tcPr>
            <w:tcW w:w="5190" w:type="dxa"/>
            <w:vMerge w:val="restart"/>
          </w:tcPr>
          <w:p w:rsidR="00F90DAD" w:rsidRDefault="00F90DAD" w:rsidP="009E7E40">
            <w:pPr>
              <w:pStyle w:val="n-Para"/>
            </w:pPr>
            <w:r>
              <w:t>Review of prescribed monetary amounts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Sections 42 and 43 (persons subject to immigration control and polygamous marriages)</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Making regulations</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44 (Crown employment)</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Application of Part 1 of the Act to persons employed by or under the Crown</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45 (inalienability)</w:t>
            </w:r>
          </w:p>
        </w:tc>
        <w:tc>
          <w:tcPr>
            <w:tcW w:w="2162" w:type="dxa"/>
            <w:vMerge w:val="restart"/>
            <w:tcBorders>
              <w:right w:val="single" w:sz="6" w:space="0" w:color="auto"/>
            </w:tcBorders>
          </w:tcPr>
          <w:p w:rsidR="00F90DAD" w:rsidRDefault="00F90DAD" w:rsidP="009E7E40">
            <w:pPr>
              <w:pStyle w:val="n-Para"/>
            </w:pPr>
            <w:r>
              <w:t>1st January 2003</w:t>
            </w:r>
          </w:p>
        </w:tc>
        <w:tc>
          <w:tcPr>
            <w:tcW w:w="5190" w:type="dxa"/>
            <w:vMerge w:val="restart"/>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46 (giving of notices by Board)</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48 (interpretation)</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All purposes of Part 1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58 (administrative arrangements)</w:t>
            </w:r>
          </w:p>
        </w:tc>
        <w:tc>
          <w:tcPr>
            <w:tcW w:w="2162" w:type="dxa"/>
            <w:vMerge w:val="restart"/>
            <w:tcBorders>
              <w:right w:val="single" w:sz="6" w:space="0" w:color="auto"/>
            </w:tcBorders>
          </w:tcPr>
          <w:p w:rsidR="00F90DAD" w:rsidRDefault="00F90DAD" w:rsidP="009E7E40">
            <w:pPr>
              <w:pStyle w:val="n-Para"/>
            </w:pPr>
            <w:r>
              <w:t>9th July 2002</w:t>
            </w:r>
          </w:p>
        </w:tc>
        <w:tc>
          <w:tcPr>
            <w:tcW w:w="5190" w:type="dxa"/>
            <w:vMerge w:val="restart"/>
          </w:tcPr>
          <w:p w:rsidR="00F90DAD" w:rsidRDefault="00F90DAD" w:rsidP="009E7E40">
            <w:pPr>
              <w:pStyle w:val="n-Para"/>
            </w:pPr>
            <w:r>
              <w:t>For the purposes of making regulations in relation to tax credits only</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t>Section 59 and Schedule 5 (use and disclosure of information)</w:t>
            </w:r>
          </w:p>
        </w:tc>
        <w:tc>
          <w:tcPr>
            <w:tcW w:w="2162" w:type="dxa"/>
            <w:vMerge w:val="restart"/>
            <w:tcBorders>
              <w:right w:val="single" w:sz="6" w:space="0" w:color="auto"/>
            </w:tcBorders>
          </w:tcPr>
          <w:p w:rsidR="00F90DAD" w:rsidRDefault="00F90DAD" w:rsidP="009E7E40">
            <w:pPr>
              <w:pStyle w:val="n-Para"/>
            </w:pPr>
            <w:r>
              <w:t>1st August 2002</w:t>
            </w:r>
          </w:p>
        </w:tc>
        <w:tc>
          <w:tcPr>
            <w:tcW w:w="5190" w:type="dxa"/>
            <w:vMerge w:val="restart"/>
          </w:tcPr>
          <w:p w:rsidR="00F90DAD" w:rsidRDefault="00F90DAD" w:rsidP="009E7E40">
            <w:pPr>
              <w:pStyle w:val="n-Para"/>
            </w:pPr>
            <w:r>
              <w:t>All purposes of Part 1 of the Act and, as respects tax credits, Part 3 of the Act</w:t>
            </w:r>
          </w:p>
        </w:tc>
      </w:tr>
      <w:tr w:rsidR="00F90DAD" w:rsidTr="009E7E40">
        <w:tblPrEx>
          <w:tblCellMar>
            <w:top w:w="0" w:type="dxa"/>
            <w:bottom w:w="0" w:type="dxa"/>
          </w:tblCellMar>
        </w:tblPrEx>
        <w:trPr>
          <w:trHeight w:val="194"/>
        </w:trPr>
        <w:tc>
          <w:tcPr>
            <w:tcW w:w="3460" w:type="dxa"/>
            <w:vMerge w:val="restart"/>
            <w:tcBorders>
              <w:right w:val="single" w:sz="6" w:space="0" w:color="auto"/>
            </w:tcBorders>
          </w:tcPr>
          <w:p w:rsidR="00F90DAD" w:rsidRDefault="00F90DAD" w:rsidP="009E7E40">
            <w:pPr>
              <w:pStyle w:val="n-Para"/>
            </w:pPr>
            <w:r>
              <w:lastRenderedPageBreak/>
              <w:t>Section 60 and Schedule 6 (repeals) so far as concerns section 6 of the Tax Credits Act 1999 (c.10) (payment of tax credit by employers etc.) and regulations made under that section</w:t>
            </w:r>
          </w:p>
        </w:tc>
        <w:tc>
          <w:tcPr>
            <w:tcW w:w="2162" w:type="dxa"/>
            <w:vMerge w:val="restart"/>
            <w:tcBorders>
              <w:right w:val="single" w:sz="6" w:space="0" w:color="auto"/>
            </w:tcBorders>
          </w:tcPr>
          <w:p w:rsidR="00F90DAD" w:rsidRDefault="00F90DAD" w:rsidP="009E7E40">
            <w:pPr>
              <w:pStyle w:val="n-Para"/>
            </w:pPr>
            <w:r>
              <w:t>27th August 2002</w:t>
            </w:r>
          </w:p>
        </w:tc>
        <w:tc>
          <w:tcPr>
            <w:tcW w:w="5190" w:type="dxa"/>
            <w:vMerge w:val="restart"/>
          </w:tcPr>
          <w:p w:rsidR="00F90DAD" w:rsidRDefault="00F90DAD" w:rsidP="009E7E40">
            <w:pPr>
              <w:pStyle w:val="n-Para"/>
            </w:pPr>
            <w:r>
              <w:t>For the purposes of awards of working families' tax credit and disabled person's tax credit commencing on or after 27th August 2002</w:t>
            </w:r>
          </w:p>
        </w:tc>
      </w:tr>
      <w:tr w:rsidR="00F90DAD" w:rsidTr="009E7E40">
        <w:tblPrEx>
          <w:tblCellMar>
            <w:top w:w="0" w:type="dxa"/>
            <w:bottom w:w="0" w:type="dxa"/>
          </w:tblCellMar>
        </w:tblPrEx>
        <w:trPr>
          <w:trHeight w:val="194"/>
        </w:trPr>
        <w:tc>
          <w:tcPr>
            <w:tcW w:w="3460" w:type="dxa"/>
            <w:vMerge w:val="restart"/>
            <w:tcBorders>
              <w:bottom w:val="single" w:sz="6" w:space="0" w:color="auto"/>
              <w:right w:val="single" w:sz="6" w:space="0" w:color="auto"/>
            </w:tcBorders>
          </w:tcPr>
          <w:p w:rsidR="00F90DAD" w:rsidRDefault="00F90DAD" w:rsidP="009E7E40">
            <w:pPr>
              <w:pStyle w:val="n-Para"/>
            </w:pPr>
            <w:r>
              <w:t>Section 60 and Schedule 6 so far as concerns section 6 of the Tax Credits Act 1999 and regulations made under that section</w:t>
            </w:r>
          </w:p>
        </w:tc>
        <w:tc>
          <w:tcPr>
            <w:tcW w:w="2162" w:type="dxa"/>
            <w:vMerge w:val="restart"/>
            <w:tcBorders>
              <w:bottom w:val="single" w:sz="6" w:space="0" w:color="auto"/>
              <w:right w:val="single" w:sz="6" w:space="0" w:color="auto"/>
            </w:tcBorders>
          </w:tcPr>
          <w:p w:rsidR="00F90DAD" w:rsidRDefault="00F90DAD" w:rsidP="009E7E40">
            <w:pPr>
              <w:pStyle w:val="n-Para"/>
            </w:pPr>
            <w:r>
              <w:t>The day immediately following the expiry of the period of 26 weeks from the date of commencement of the award</w:t>
            </w:r>
          </w:p>
        </w:tc>
        <w:tc>
          <w:tcPr>
            <w:tcW w:w="5190" w:type="dxa"/>
            <w:vMerge w:val="restart"/>
            <w:tcBorders>
              <w:bottom w:val="single" w:sz="6" w:space="0" w:color="auto"/>
            </w:tcBorders>
          </w:tcPr>
          <w:p w:rsidR="00F90DAD" w:rsidRDefault="00F90DAD" w:rsidP="009E7E40">
            <w:pPr>
              <w:pStyle w:val="n-Para"/>
            </w:pPr>
            <w:r>
              <w:t>For the purposes of awards of working families' tax credit and disabled person's tax credit that commence on or after 4th June 2002 but before 27th August 2002 and are existing on 27th August 2002</w:t>
            </w:r>
          </w:p>
        </w:tc>
      </w:tr>
    </w:tbl>
    <w:p w:rsidR="00F90DAD" w:rsidRDefault="00F90DAD" w:rsidP="00F90DAD">
      <w:pPr>
        <w:pStyle w:val="PHDR"/>
      </w:pPr>
      <w:r>
        <w:t>3</w:t>
      </w:r>
      <w:r>
        <w:tab/>
        <w:t>[Claims for a tax credit relating to the tax year 2003–04—transitional provision</w:t>
      </w:r>
    </w:p>
    <w:p w:rsidR="00F90DAD" w:rsidRDefault="00F90DAD" w:rsidP="00F90DAD">
      <w:pPr>
        <w:pStyle w:val="P1"/>
      </w:pPr>
      <w:r>
        <w:t>(1)</w:t>
      </w:r>
      <w:r>
        <w:tab/>
        <w:t>For the purposes of the definition of “the previous year income” in section 7(5) of the Act—</w:t>
      </w:r>
    </w:p>
    <w:p w:rsidR="00F90DAD" w:rsidRDefault="00F90DAD" w:rsidP="00F90DAD">
      <w:pPr>
        <w:pStyle w:val="P2"/>
      </w:pPr>
      <w:r>
        <w:t>(</w:t>
      </w:r>
      <w:r>
        <w:rPr>
          <w:i/>
        </w:rPr>
        <w:t>a</w:t>
      </w:r>
      <w:r>
        <w:t>)</w:t>
      </w:r>
      <w:r>
        <w:tab/>
        <w:t>any claim under the Act for a tax credit relating to the tax year 2003–04 shall be treated as if it were a claim for the tax year 2002–03, and</w:t>
      </w:r>
    </w:p>
    <w:p w:rsidR="00F90DAD" w:rsidRDefault="00F90DAD" w:rsidP="00F90DAD">
      <w:pPr>
        <w:pStyle w:val="P2"/>
      </w:pPr>
      <w:r>
        <w:t>(</w:t>
      </w:r>
      <w:r>
        <w:rPr>
          <w:i/>
        </w:rPr>
        <w:t>b</w:t>
      </w:r>
      <w:r>
        <w:t>)</w:t>
      </w:r>
      <w:r>
        <w:tab/>
        <w:t>accordingly the previous year income in relation to such a claim shall be income for the tax year 2001–02.</w:t>
      </w:r>
    </w:p>
    <w:p w:rsidR="00F90DAD" w:rsidRDefault="00F90DAD" w:rsidP="00F90DAD">
      <w:pPr>
        <w:pStyle w:val="P1"/>
      </w:pPr>
      <w:r>
        <w:t>(2)</w:t>
      </w:r>
      <w:r>
        <w:tab/>
        <w:t>In paragraph (1)—</w:t>
      </w:r>
    </w:p>
    <w:p w:rsidR="00F90DAD" w:rsidRDefault="00F90DAD" w:rsidP="00F90DAD">
      <w:pPr>
        <w:pStyle w:val="DEFINITIONB"/>
      </w:pPr>
      <w:r>
        <w:t>[DEFINITIONB</w:t>
      </w:r>
    </w:p>
    <w:p w:rsidR="00F90DAD" w:rsidRDefault="00F90DAD" w:rsidP="00F90DAD">
      <w:pPr>
        <w:pStyle w:val="P2"/>
      </w:pPr>
      <w:r>
        <w:t>“the tax year 2001–02” means the tax year beginning on 6th April 2001 and ending on 5th April 2002,</w:t>
      </w:r>
    </w:p>
    <w:p w:rsidR="00F90DAD" w:rsidRDefault="00F90DAD" w:rsidP="00F90DAD">
      <w:pPr>
        <w:pStyle w:val="P2"/>
      </w:pPr>
      <w:r>
        <w:t>“the tax year 2002–03” means the tax year beginning on 6th April 2002 and ending on 5th April 2003, and</w:t>
      </w:r>
    </w:p>
    <w:p w:rsidR="00F90DAD" w:rsidRDefault="00F90DAD" w:rsidP="00F90DAD">
      <w:pPr>
        <w:pStyle w:val="P2"/>
      </w:pPr>
      <w:r>
        <w:t>“the tax year 2003–04” means the tax year beginning on 6th April 2003 and ending on 5th April 2004.]</w:t>
      </w:r>
      <w:r>
        <w:rPr>
          <w:vertAlign w:val="superscript"/>
        </w:rPr>
        <w:t>1</w:t>
      </w:r>
    </w:p>
    <w:p w:rsidR="00F90DAD" w:rsidRDefault="00F90DAD" w:rsidP="00F90DAD">
      <w:pPr>
        <w:pStyle w:val="DEFINITIONE"/>
      </w:pPr>
      <w:r>
        <w:t>[DEFINITIONE</w:t>
      </w:r>
    </w:p>
    <w:p w:rsidR="00F90DAD" w:rsidRDefault="00F90DAD" w:rsidP="00F90DAD">
      <w:pPr>
        <w:pStyle w:val="CommentB"/>
      </w:pPr>
      <w:r>
        <w:t>#CommentB</w:t>
      </w:r>
    </w:p>
    <w:p w:rsidR="00F90DAD" w:rsidRDefault="00F90DAD" w:rsidP="00F90DAD">
      <w:pPr>
        <w:pStyle w:val="n-FloatingHead5"/>
      </w:pPr>
      <w:r>
        <w:t>Amendments—</w:t>
      </w:r>
    </w:p>
    <w:p w:rsidR="00F90DAD" w:rsidRDefault="00F90DAD" w:rsidP="00F90DAD">
      <w:pPr>
        <w:pStyle w:val="EndnotesB"/>
      </w:pPr>
      <w:r>
        <w:t>#EndnotesB</w:t>
      </w:r>
    </w:p>
    <w:p w:rsidR="00F90DAD" w:rsidRDefault="00F90DAD" w:rsidP="00F90DAD">
      <w:pPr>
        <w:pStyle w:val="n-Para"/>
      </w:pPr>
      <w:r>
        <w:rPr>
          <w:vertAlign w:val="superscript"/>
        </w:rPr>
        <w:t>1</w:t>
      </w:r>
      <w:r>
        <w:tab/>
        <w:t>Substituted by the Tax Credits (Claims) (Transitional Provision) (Amendment) Order, SI 2002/2158 with effect from 20 August 2002 in the absence of any specific commencement provision.</w:t>
      </w:r>
    </w:p>
    <w:p w:rsidR="00745DC2" w:rsidRDefault="00F90DAD">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AD"/>
    <w:rsid w:val="006A35F9"/>
    <w:rsid w:val="00C7342F"/>
    <w:rsid w:val="00F9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0DAD"/>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F90DAD"/>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F90DAD"/>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F90DAD"/>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F90DAD"/>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F90DAD"/>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F90DAD"/>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F90DAD"/>
    <w:pPr>
      <w:spacing w:before="120" w:after="0" w:line="240" w:lineRule="auto"/>
    </w:pPr>
    <w:rPr>
      <w:rFonts w:ascii="Verdana" w:eastAsia="Times New Roman" w:hAnsi="Verdana" w:cs="Times New Roman"/>
      <w:szCs w:val="20"/>
      <w:lang w:val="en-US"/>
    </w:rPr>
  </w:style>
  <w:style w:type="paragraph" w:customStyle="1" w:styleId="n-Para">
    <w:name w:val="n-Para"/>
    <w:autoRedefine/>
    <w:rsid w:val="00F90DAD"/>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F90DAD"/>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F90DAD"/>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F90DAD"/>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F90DAD"/>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F90DAD"/>
    <w:pPr>
      <w:spacing w:after="0" w:line="240" w:lineRule="auto"/>
    </w:pPr>
    <w:rPr>
      <w:rFonts w:ascii="Verdana" w:eastAsia="Times New Roman" w:hAnsi="Verdana" w:cs="Arial"/>
      <w:sz w:val="16"/>
      <w:szCs w:val="20"/>
      <w:lang w:eastAsia="en-GB"/>
    </w:rPr>
  </w:style>
  <w:style w:type="paragraph" w:customStyle="1" w:styleId="SNUM">
    <w:name w:val="[SNUM"/>
    <w:autoRedefine/>
    <w:rsid w:val="00F90DAD"/>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F90DAD"/>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0DAD"/>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F90DAD"/>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F90DAD"/>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F90DAD"/>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F90DAD"/>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F90DAD"/>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F90DAD"/>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F90DAD"/>
    <w:pPr>
      <w:spacing w:before="120" w:after="0" w:line="240" w:lineRule="auto"/>
    </w:pPr>
    <w:rPr>
      <w:rFonts w:ascii="Verdana" w:eastAsia="Times New Roman" w:hAnsi="Verdana" w:cs="Times New Roman"/>
      <w:szCs w:val="20"/>
      <w:lang w:val="en-US"/>
    </w:rPr>
  </w:style>
  <w:style w:type="paragraph" w:customStyle="1" w:styleId="n-Para">
    <w:name w:val="n-Para"/>
    <w:autoRedefine/>
    <w:rsid w:val="00F90DAD"/>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F90DAD"/>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F90DAD"/>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F90DAD"/>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F90DAD"/>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F90DAD"/>
    <w:pPr>
      <w:spacing w:after="0" w:line="240" w:lineRule="auto"/>
    </w:pPr>
    <w:rPr>
      <w:rFonts w:ascii="Verdana" w:eastAsia="Times New Roman" w:hAnsi="Verdana" w:cs="Arial"/>
      <w:sz w:val="16"/>
      <w:szCs w:val="20"/>
      <w:lang w:eastAsia="en-GB"/>
    </w:rPr>
  </w:style>
  <w:style w:type="paragraph" w:customStyle="1" w:styleId="SNUM">
    <w:name w:val="[SNUM"/>
    <w:autoRedefine/>
    <w:rsid w:val="00F90DAD"/>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F90DAD"/>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2016-02-01T14:52:00Z</dcterms:created>
  <dcterms:modified xsi:type="dcterms:W3CDTF">2016-02-01T14:53:00Z</dcterms:modified>
</cp:coreProperties>
</file>