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5C5" w:rsidRDefault="00A765C5" w:rsidP="00A765C5">
      <w:pPr>
        <w:pStyle w:val="SNUM"/>
      </w:pPr>
      <w:r>
        <w:fldChar w:fldCharType="begin"/>
      </w:r>
      <w:r>
        <w:instrText xml:space="preserve"> XE "officialnum:N17D29:[SNUM" </w:instrText>
      </w:r>
      <w:r>
        <w:fldChar w:fldCharType="end"/>
      </w:r>
      <w:r>
        <w:t>2002/3119</w:t>
      </w:r>
    </w:p>
    <w:p w:rsidR="00A765C5" w:rsidRDefault="00A765C5" w:rsidP="00A765C5">
      <w:pPr>
        <w:pStyle w:val="TTL"/>
      </w:pPr>
      <w:r>
        <w:fldChar w:fldCharType="begin"/>
      </w:r>
      <w:r>
        <w:instrText xml:space="preserve"> XE "title:N17D30:[TTL" </w:instrText>
      </w:r>
      <w:r>
        <w:fldChar w:fldCharType="end"/>
      </w:r>
      <w:r>
        <w:t>Tax Credits (Notice of Appeal) Regulations 2002</w:t>
      </w:r>
    </w:p>
    <w:p w:rsidR="00A765C5" w:rsidRDefault="00A765C5" w:rsidP="00A765C5">
      <w:pPr>
        <w:pStyle w:val="CommentB"/>
      </w:pPr>
      <w:r>
        <w:fldChar w:fldCharType="begin"/>
      </w:r>
      <w:r>
        <w:instrText xml:space="preserve"> XE "comment:N17D33" </w:instrText>
      </w:r>
      <w:r>
        <w:fldChar w:fldCharType="end"/>
      </w:r>
      <w:r>
        <w:t>#</w:t>
      </w:r>
      <w:proofErr w:type="spellStart"/>
      <w:r>
        <w:t>CommentB</w:t>
      </w:r>
      <w:proofErr w:type="spellEnd"/>
    </w:p>
    <w:p w:rsidR="00A765C5" w:rsidRDefault="00A765C5" w:rsidP="00A765C5">
      <w:pPr>
        <w:pStyle w:val="n-GenericHead"/>
      </w:pPr>
      <w:r>
        <w:rPr>
          <w:b/>
          <w:bCs/>
        </w:rPr>
        <w:fldChar w:fldCharType="begin"/>
      </w:r>
      <w:r>
        <w:rPr>
          <w:b/>
          <w:bCs/>
        </w:rPr>
        <w:instrText xml:space="preserve"> XE "generic-hd:N17D37:n-GenericHead" </w:instrText>
      </w:r>
      <w:r>
        <w:rPr>
          <w:b/>
          <w:bCs/>
        </w:rPr>
        <w:fldChar w:fldCharType="end"/>
      </w:r>
      <w:r>
        <w:rPr>
          <w:b/>
          <w:bCs/>
        </w:rPr>
        <w:t>Amendments—</w:t>
      </w:r>
      <w:r>
        <w:t xml:space="preserve"> </w:t>
      </w:r>
    </w:p>
    <w:p w:rsidR="00A765C5" w:rsidRDefault="00A765C5" w:rsidP="00A765C5">
      <w:pPr>
        <w:pStyle w:val="n-Para"/>
      </w:pPr>
      <w:r>
        <w:fldChar w:fldCharType="begin"/>
      </w:r>
      <w:r>
        <w:instrText xml:space="preserve"> XE "para:N17D3A:n-Para" </w:instrText>
      </w:r>
      <w:r>
        <w:fldChar w:fldCharType="end"/>
      </w:r>
      <w:r>
        <w:t>These regulations revoked by the Tax Credits, Child Benefit and Guardian’s Allowance Reviews and Appeals Order, SI 2014/886, art 3 with effect in relation to England, Wales and Scotland from 6 April 2014.</w:t>
      </w:r>
    </w:p>
    <w:p w:rsidR="00A765C5" w:rsidRDefault="00A765C5" w:rsidP="00A765C5">
      <w:pPr>
        <w:pStyle w:val="CommentE"/>
      </w:pPr>
      <w:r>
        <w:fldChar w:fldCharType="begin"/>
      </w:r>
      <w:r>
        <w:instrText xml:space="preserve"> XE "comment:N17D33" </w:instrText>
      </w:r>
      <w:r>
        <w:fldChar w:fldCharType="end"/>
      </w:r>
      <w:r>
        <w:t>#</w:t>
      </w:r>
      <w:proofErr w:type="spellStart"/>
      <w:r>
        <w:t>CommentE</w:t>
      </w:r>
      <w:proofErr w:type="spellEnd"/>
    </w:p>
    <w:p w:rsidR="00A765C5" w:rsidRDefault="00A765C5" w:rsidP="00A765C5">
      <w:pPr>
        <w:pStyle w:val="MAIN"/>
      </w:pPr>
      <w:r>
        <w:fldChar w:fldCharType="begin"/>
      </w:r>
      <w:r>
        <w:instrText xml:space="preserve"> XE "main:N17D3C:MAIN" </w:instrText>
      </w:r>
      <w:r>
        <w:fldChar w:fldCharType="end"/>
      </w:r>
      <w:r>
        <w:t>[MAIN</w:t>
      </w:r>
    </w:p>
    <w:p w:rsidR="00A765C5" w:rsidRDefault="00A765C5" w:rsidP="00A765C5">
      <w:pPr>
        <w:pStyle w:val="PHDR"/>
      </w:pPr>
      <w:r>
        <w:fldChar w:fldCharType="begin"/>
      </w:r>
      <w:r>
        <w:instrText xml:space="preserve"> XE "provision:N17D3F:[PHDR" </w:instrText>
      </w:r>
      <w:r>
        <w:fldChar w:fldCharType="end"/>
      </w:r>
      <w:r>
        <w:t>1</w:t>
      </w:r>
      <w:r>
        <w:tab/>
        <w:t>Citation and commencement</w:t>
      </w:r>
    </w:p>
    <w:p w:rsidR="00A765C5" w:rsidRDefault="00A765C5" w:rsidP="00A765C5">
      <w:pPr>
        <w:pStyle w:val="P1"/>
      </w:pPr>
      <w:r>
        <w:fldChar w:fldCharType="begin"/>
      </w:r>
      <w:r>
        <w:instrText xml:space="preserve"> XE "para1:N17D63:[P1" </w:instrText>
      </w:r>
      <w:r>
        <w:fldChar w:fldCharType="end"/>
      </w:r>
      <w:r>
        <w:rPr>
          <w:i/>
          <w:iCs/>
        </w:rPr>
        <w:t>These Regulations may be cited as the Tax Credits (Notice of Appeal) Regulations 2002 and shall come into force on 7th January 2003.</w:t>
      </w:r>
      <w:r>
        <w:rPr>
          <w:rStyle w:val="endnoteid"/>
        </w:rPr>
        <w:t>1</w:t>
      </w:r>
      <w:r>
        <w:t xml:space="preserve"> </w:t>
      </w:r>
    </w:p>
    <w:p w:rsidR="00A765C5" w:rsidRDefault="00A765C5" w:rsidP="00A765C5">
      <w:pPr>
        <w:pStyle w:val="CommentB"/>
      </w:pPr>
      <w:r>
        <w:fldChar w:fldCharType="begin"/>
      </w:r>
      <w:r>
        <w:instrText xml:space="preserve"> XE "comment:N17D6B" </w:instrText>
      </w:r>
      <w:r>
        <w:fldChar w:fldCharType="end"/>
      </w:r>
      <w:r>
        <w:t>#</w:t>
      </w:r>
      <w:proofErr w:type="spellStart"/>
      <w:r>
        <w:t>CommentB</w:t>
      </w:r>
      <w:proofErr w:type="spellEnd"/>
    </w:p>
    <w:p w:rsidR="00A765C5" w:rsidRDefault="00A765C5" w:rsidP="00A765C5">
      <w:pPr>
        <w:pStyle w:val="n-GenericHead"/>
      </w:pPr>
      <w:r>
        <w:rPr>
          <w:b/>
          <w:bCs/>
        </w:rPr>
        <w:fldChar w:fldCharType="begin"/>
      </w:r>
      <w:r>
        <w:rPr>
          <w:b/>
          <w:bCs/>
        </w:rPr>
        <w:instrText xml:space="preserve"> XE "generic-hd:N17D6F:n-GenericHead" </w:instrText>
      </w:r>
      <w:r>
        <w:rPr>
          <w:b/>
          <w:bCs/>
        </w:rPr>
        <w:fldChar w:fldCharType="end"/>
      </w:r>
      <w:r>
        <w:rPr>
          <w:b/>
          <w:bCs/>
        </w:rPr>
        <w:t>Amendments—</w:t>
      </w:r>
      <w:r>
        <w:t xml:space="preserve"> </w:t>
      </w:r>
    </w:p>
    <w:p w:rsidR="00A765C5" w:rsidRDefault="00A765C5" w:rsidP="00A765C5">
      <w:pPr>
        <w:pStyle w:val="EndnotesB"/>
      </w:pPr>
      <w:r>
        <w:fldChar w:fldCharType="begin"/>
      </w:r>
      <w:r>
        <w:instrText xml:space="preserve"> XE "endnotes:N17D72:EndnotesB" </w:instrText>
      </w:r>
      <w:r>
        <w:fldChar w:fldCharType="end"/>
      </w:r>
      <w:r>
        <w:t>#</w:t>
      </w:r>
      <w:proofErr w:type="spellStart"/>
      <w:r>
        <w:t>EndnotesB</w:t>
      </w:r>
      <w:proofErr w:type="spellEnd"/>
    </w:p>
    <w:p w:rsidR="00A765C5" w:rsidRDefault="00A765C5" w:rsidP="00A765C5">
      <w:pPr>
        <w:pStyle w:val="n-List1"/>
      </w:pPr>
      <w:r>
        <w:fldChar w:fldCharType="begin"/>
      </w:r>
      <w:r>
        <w:instrText xml:space="preserve"> XE "para:N17D75:n-List1" </w:instrText>
      </w:r>
      <w:r>
        <w:fldChar w:fldCharType="end"/>
      </w:r>
      <w:r>
        <w:t>1</w:t>
      </w:r>
      <w:r>
        <w:tab/>
        <w:t>These regulations revoked by the Tax Credits, Child Benefit and Guardian’s Allowance Reviews and Appeals Order, SI 2014/886, art 3 with effect in relation to England, Wales and Scotland from 6 April 2014.</w:t>
      </w:r>
    </w:p>
    <w:p w:rsidR="00A765C5" w:rsidRDefault="00A765C5" w:rsidP="00A765C5">
      <w:pPr>
        <w:pStyle w:val="EndnotesE"/>
      </w:pPr>
      <w:r>
        <w:fldChar w:fldCharType="begin"/>
      </w:r>
      <w:r>
        <w:instrText xml:space="preserve"> XE "endnotes:N17D72:EndnotesE" </w:instrText>
      </w:r>
      <w:r>
        <w:fldChar w:fldCharType="end"/>
      </w:r>
      <w:r>
        <w:t>#</w:t>
      </w:r>
      <w:proofErr w:type="spellStart"/>
      <w:r>
        <w:t>EndnotesE</w:t>
      </w:r>
      <w:proofErr w:type="spellEnd"/>
    </w:p>
    <w:p w:rsidR="00A765C5" w:rsidRDefault="00A765C5" w:rsidP="00A765C5">
      <w:pPr>
        <w:pStyle w:val="CommentE"/>
      </w:pPr>
      <w:r>
        <w:fldChar w:fldCharType="begin"/>
      </w:r>
      <w:r>
        <w:instrText xml:space="preserve"> XE "comment:N17D6B" </w:instrText>
      </w:r>
      <w:r>
        <w:fldChar w:fldCharType="end"/>
      </w:r>
      <w:r>
        <w:t>#</w:t>
      </w:r>
      <w:proofErr w:type="spellStart"/>
      <w:r>
        <w:t>CommentE</w:t>
      </w:r>
      <w:proofErr w:type="spellEnd"/>
    </w:p>
    <w:p w:rsidR="00A765C5" w:rsidRDefault="00A765C5" w:rsidP="00A765C5">
      <w:pPr>
        <w:pStyle w:val="PHDR"/>
      </w:pPr>
      <w:r>
        <w:fldChar w:fldCharType="begin"/>
      </w:r>
      <w:r>
        <w:instrText xml:space="preserve"> XE "provision:N17D77:[PHDR" </w:instrText>
      </w:r>
      <w:r>
        <w:fldChar w:fldCharType="end"/>
      </w:r>
      <w:r>
        <w:t>2</w:t>
      </w:r>
      <w:r>
        <w:tab/>
        <w:t>Prescribed manner of notice of appeal</w:t>
      </w:r>
    </w:p>
    <w:p w:rsidR="00A765C5" w:rsidRDefault="00A765C5" w:rsidP="00A765C5">
      <w:pPr>
        <w:pStyle w:val="P1"/>
      </w:pPr>
      <w:r>
        <w:fldChar w:fldCharType="begin"/>
      </w:r>
      <w:r>
        <w:instrText xml:space="preserve"> XE "para1:N17D9B:[P1" </w:instrText>
      </w:r>
      <w:r>
        <w:fldChar w:fldCharType="end"/>
      </w:r>
      <w:r>
        <w:rPr>
          <w:i/>
          <w:iCs/>
        </w:rPr>
        <w:t>(1)</w:t>
      </w:r>
      <w:r>
        <w:tab/>
      </w:r>
      <w:r>
        <w:rPr>
          <w:i/>
          <w:iCs/>
        </w:rPr>
        <w:t>The prescribed manner of giving notice of appeal …</w:t>
      </w:r>
      <w:r>
        <w:rPr>
          <w:rStyle w:val="endnoteid"/>
          <w:i/>
          <w:iCs/>
        </w:rPr>
        <w:t>2</w:t>
      </w:r>
      <w:r>
        <w:rPr>
          <w:i/>
          <w:iCs/>
        </w:rPr>
        <w:t xml:space="preserve"> under section 39(1) of the Tax Credits Act 2002 is as follows.</w:t>
      </w:r>
      <w:r>
        <w:t xml:space="preserve"> </w:t>
      </w:r>
    </w:p>
    <w:p w:rsidR="00A765C5" w:rsidRDefault="00A765C5" w:rsidP="00A765C5">
      <w:pPr>
        <w:pStyle w:val="P1"/>
      </w:pPr>
      <w:r>
        <w:fldChar w:fldCharType="begin"/>
      </w:r>
      <w:r>
        <w:instrText xml:space="preserve"> XE "para1:N17DA8:[P1" </w:instrText>
      </w:r>
      <w:r>
        <w:fldChar w:fldCharType="end"/>
      </w:r>
      <w:r>
        <w:rPr>
          <w:i/>
          <w:iCs/>
        </w:rPr>
        <w:t>(2)</w:t>
      </w:r>
      <w:r>
        <w:tab/>
      </w:r>
      <w:r>
        <w:rPr>
          <w:i/>
          <w:iCs/>
        </w:rPr>
        <w:t>The notice must—</w:t>
      </w:r>
      <w:r>
        <w:t xml:space="preserve"> </w:t>
      </w:r>
    </w:p>
    <w:p w:rsidR="00A765C5" w:rsidRDefault="00A765C5" w:rsidP="00A765C5">
      <w:pPr>
        <w:pStyle w:val="P2"/>
      </w:pPr>
      <w:r>
        <w:fldChar w:fldCharType="begin"/>
      </w:r>
      <w:r>
        <w:instrText xml:space="preserve"> XE "para2:N17DB2:[P2" </w:instrText>
      </w:r>
      <w:r>
        <w:fldChar w:fldCharType="end"/>
      </w:r>
      <w:r>
        <w:rPr>
          <w:i/>
          <w:iCs/>
        </w:rPr>
        <w:t>(a)</w:t>
      </w:r>
      <w:r>
        <w:tab/>
      </w:r>
      <w:r>
        <w:rPr>
          <w:i/>
          <w:iCs/>
        </w:rPr>
        <w:t>be given in writing [to the appropriate office]</w:t>
      </w:r>
      <w:r>
        <w:rPr>
          <w:rStyle w:val="endnoteid"/>
          <w:i/>
          <w:iCs/>
        </w:rPr>
        <w:t>2</w:t>
      </w:r>
      <w:r>
        <w:t>,</w:t>
      </w:r>
    </w:p>
    <w:p w:rsidR="00A765C5" w:rsidRDefault="00A765C5" w:rsidP="00A765C5">
      <w:pPr>
        <w:pStyle w:val="P2"/>
      </w:pPr>
      <w:r>
        <w:fldChar w:fldCharType="begin"/>
      </w:r>
      <w:r>
        <w:instrText xml:space="preserve"> XE "para2:N17DBF:[P2" </w:instrText>
      </w:r>
      <w:r>
        <w:fldChar w:fldCharType="end"/>
      </w:r>
      <w:r>
        <w:rPr>
          <w:i/>
          <w:iCs/>
        </w:rPr>
        <w:t>(b)</w:t>
      </w:r>
      <w:r>
        <w:tab/>
      </w:r>
      <w:r>
        <w:rPr>
          <w:i/>
          <w:iCs/>
        </w:rPr>
        <w:t>contain sufficient information to identify the appellant and the decision against which the appeal is being made, and</w:t>
      </w:r>
      <w:r>
        <w:t xml:space="preserve"> </w:t>
      </w:r>
    </w:p>
    <w:p w:rsidR="00A765C5" w:rsidRDefault="00A765C5" w:rsidP="00A765C5">
      <w:pPr>
        <w:pStyle w:val="P2"/>
      </w:pPr>
      <w:r>
        <w:fldChar w:fldCharType="begin"/>
      </w:r>
      <w:r>
        <w:instrText xml:space="preserve"> XE "para2:N17DC9:[P2" </w:instrText>
      </w:r>
      <w:r>
        <w:fldChar w:fldCharType="end"/>
      </w:r>
      <w:r>
        <w:rPr>
          <w:i/>
          <w:iCs/>
        </w:rPr>
        <w:t>(c)</w:t>
      </w:r>
      <w:r>
        <w:tab/>
      </w:r>
      <w:r>
        <w:rPr>
          <w:i/>
          <w:iCs/>
        </w:rPr>
        <w:t>be signed by or on behalf of the appellant.</w:t>
      </w:r>
      <w:r>
        <w:t xml:space="preserve"> </w:t>
      </w:r>
    </w:p>
    <w:p w:rsidR="00A765C5" w:rsidRDefault="00A765C5" w:rsidP="00A765C5">
      <w:pPr>
        <w:pStyle w:val="P1"/>
      </w:pPr>
      <w:r>
        <w:fldChar w:fldCharType="begin"/>
      </w:r>
      <w:r>
        <w:instrText xml:space="preserve"> XE "para1:N17DD3:[P1" </w:instrText>
      </w:r>
      <w:r>
        <w:fldChar w:fldCharType="end"/>
      </w:r>
      <w:r>
        <w:rPr>
          <w:i/>
          <w:iCs/>
        </w:rPr>
        <w:t>(3)</w:t>
      </w:r>
      <w:r>
        <w:tab/>
      </w:r>
      <w:r>
        <w:rPr>
          <w:i/>
          <w:iCs/>
        </w:rPr>
        <w:t>In paragraph (2)(a) “writing” includes writing produced by electronic communications if those electronic communications are approved by the [appropriate office]</w:t>
      </w:r>
      <w:r>
        <w:rPr>
          <w:rStyle w:val="endnoteid"/>
          <w:i/>
          <w:iCs/>
        </w:rPr>
        <w:t>2</w:t>
      </w:r>
      <w:r>
        <w:t>.</w:t>
      </w:r>
    </w:p>
    <w:p w:rsidR="00A765C5" w:rsidRDefault="00A765C5" w:rsidP="00A765C5">
      <w:pPr>
        <w:pStyle w:val="P1"/>
      </w:pPr>
      <w:r>
        <w:fldChar w:fldCharType="begin"/>
      </w:r>
      <w:r>
        <w:instrText xml:space="preserve"> XE "para1:N17DE0:[P1" </w:instrText>
      </w:r>
      <w:r>
        <w:fldChar w:fldCharType="end"/>
      </w:r>
      <w:r>
        <w:rPr>
          <w:i/>
          <w:iCs/>
        </w:rPr>
        <w:t>(4)</w:t>
      </w:r>
      <w:r>
        <w:tab/>
      </w:r>
      <w:r>
        <w:rPr>
          <w:i/>
          <w:iCs/>
        </w:rPr>
        <w:t>In paragraph (2)(c) “signed”, where the notice is in writing produced by electronic communications, means authenticated in such manner as may be approved by the [appropriate office]</w:t>
      </w:r>
      <w:r>
        <w:rPr>
          <w:rStyle w:val="endnoteid"/>
          <w:i/>
          <w:iCs/>
        </w:rPr>
        <w:t>2</w:t>
      </w:r>
      <w:r>
        <w:t>.</w:t>
      </w:r>
    </w:p>
    <w:p w:rsidR="00A765C5" w:rsidRDefault="00A765C5" w:rsidP="00A765C5">
      <w:pPr>
        <w:pStyle w:val="P1"/>
      </w:pPr>
      <w:r>
        <w:fldChar w:fldCharType="begin"/>
      </w:r>
      <w:r>
        <w:instrText xml:space="preserve"> XE "para1:N17DED:[P1" </w:instrText>
      </w:r>
      <w:r>
        <w:fldChar w:fldCharType="end"/>
      </w:r>
      <w:r>
        <w:rPr>
          <w:i/>
          <w:iCs/>
        </w:rPr>
        <w:t>(5)</w:t>
      </w:r>
      <w:r>
        <w:tab/>
      </w:r>
      <w:r>
        <w:rPr>
          <w:i/>
          <w:iCs/>
        </w:rPr>
        <w:t>In this regulation “the [appropriate office]</w:t>
      </w:r>
      <w:r>
        <w:rPr>
          <w:rStyle w:val="endnoteid"/>
          <w:i/>
          <w:iCs/>
        </w:rPr>
        <w:t>2</w:t>
      </w:r>
      <w:r>
        <w:rPr>
          <w:i/>
          <w:iCs/>
        </w:rPr>
        <w:t>” means [any office specified in writing for the purpose by the Department for Social Development in Northern Ireland]</w:t>
      </w:r>
      <w:r>
        <w:rPr>
          <w:rStyle w:val="endnoteid"/>
          <w:i/>
          <w:iCs/>
        </w:rPr>
        <w:t>2</w:t>
      </w:r>
      <w:r>
        <w:t>.</w:t>
      </w:r>
      <w:r>
        <w:rPr>
          <w:rStyle w:val="endnoteid"/>
        </w:rPr>
        <w:t>1</w:t>
      </w:r>
      <w:r>
        <w:t xml:space="preserve"> </w:t>
      </w:r>
    </w:p>
    <w:p w:rsidR="00A765C5" w:rsidRDefault="00A765C5" w:rsidP="00A765C5">
      <w:pPr>
        <w:pStyle w:val="CommentB"/>
      </w:pPr>
      <w:r>
        <w:lastRenderedPageBreak/>
        <w:fldChar w:fldCharType="begin"/>
      </w:r>
      <w:r>
        <w:instrText xml:space="preserve"> XE "comment:N17DFF" </w:instrText>
      </w:r>
      <w:r>
        <w:fldChar w:fldCharType="end"/>
      </w:r>
      <w:r>
        <w:t>#</w:t>
      </w:r>
      <w:proofErr w:type="spellStart"/>
      <w:r>
        <w:t>CommentB</w:t>
      </w:r>
      <w:proofErr w:type="spellEnd"/>
    </w:p>
    <w:p w:rsidR="00A765C5" w:rsidRDefault="00A765C5" w:rsidP="00A765C5">
      <w:pPr>
        <w:pStyle w:val="n-GenericHead"/>
      </w:pPr>
      <w:r>
        <w:rPr>
          <w:b/>
          <w:bCs/>
        </w:rPr>
        <w:fldChar w:fldCharType="begin"/>
      </w:r>
      <w:r>
        <w:rPr>
          <w:b/>
          <w:bCs/>
        </w:rPr>
        <w:instrText xml:space="preserve"> XE "generic-hd:N17E03:n-GenericHead" </w:instrText>
      </w:r>
      <w:r>
        <w:rPr>
          <w:b/>
          <w:bCs/>
        </w:rPr>
        <w:fldChar w:fldCharType="end"/>
      </w:r>
      <w:r>
        <w:rPr>
          <w:b/>
          <w:bCs/>
        </w:rPr>
        <w:t>Amendments—</w:t>
      </w:r>
      <w:r>
        <w:t xml:space="preserve"> </w:t>
      </w:r>
    </w:p>
    <w:p w:rsidR="00A765C5" w:rsidRDefault="00A765C5" w:rsidP="00A765C5">
      <w:pPr>
        <w:pStyle w:val="EndnotesB"/>
      </w:pPr>
      <w:r>
        <w:fldChar w:fldCharType="begin"/>
      </w:r>
      <w:r>
        <w:instrText xml:space="preserve"> XE "endnotes:N17E06:EndnotesB" </w:instrText>
      </w:r>
      <w:r>
        <w:fldChar w:fldCharType="end"/>
      </w:r>
      <w:r>
        <w:t>#</w:t>
      </w:r>
      <w:proofErr w:type="spellStart"/>
      <w:r>
        <w:t>EndnotesB</w:t>
      </w:r>
      <w:proofErr w:type="spellEnd"/>
    </w:p>
    <w:p w:rsidR="00A765C5" w:rsidRDefault="00A765C5" w:rsidP="00A765C5">
      <w:pPr>
        <w:pStyle w:val="n-List1"/>
      </w:pPr>
      <w:r>
        <w:fldChar w:fldCharType="begin"/>
      </w:r>
      <w:r>
        <w:instrText xml:space="preserve"> XE "para:N17E09:n-List1" </w:instrText>
      </w:r>
      <w:r>
        <w:fldChar w:fldCharType="end"/>
      </w:r>
      <w:r>
        <w:t>1</w:t>
      </w:r>
      <w:r>
        <w:tab/>
        <w:t>These regulations revoked by the Tax Credits, Child Benefit and Guardian’s Allowance Reviews and Appeals Order, SI 2014/886, art 3(1) with effect in relation to England, Wales and Scotland from 6 April 2014.</w:t>
      </w:r>
    </w:p>
    <w:p w:rsidR="00A765C5" w:rsidRDefault="00A765C5" w:rsidP="00A765C5">
      <w:pPr>
        <w:pStyle w:val="n-List1"/>
      </w:pPr>
      <w:r>
        <w:fldChar w:fldCharType="begin"/>
      </w:r>
      <w:r>
        <w:instrText xml:space="preserve"> XE "para:N17E0D:n-List1" </w:instrText>
      </w:r>
      <w:r>
        <w:fldChar w:fldCharType="end"/>
      </w:r>
      <w:r>
        <w:t>2</w:t>
      </w:r>
      <w:r>
        <w:tab/>
        <w:t>In para (1) words “to the Board” revoked, in para (2)(</w:t>
      </w:r>
      <w:r>
        <w:rPr>
          <w:i/>
          <w:iCs/>
        </w:rPr>
        <w:t>a</w:t>
      </w:r>
      <w:r>
        <w:t>) words inserted, in paras (3), (4) words substituted for word “Board”, and in para (5) words substituted for words “Board” and “the Commissioners of Inland Revenue” by the Tax Credits, Child Benefit and Guardian’s Allowance Reviews and Appeals Order, SI 2014/886, art 3(2)–(6) with effect in relation to Northern Ireland only from 3 November 2014.</w:t>
      </w:r>
    </w:p>
    <w:p w:rsidR="00A765C5" w:rsidRDefault="00A765C5" w:rsidP="00A765C5">
      <w:pPr>
        <w:pStyle w:val="EndnotesE"/>
      </w:pPr>
      <w:r>
        <w:fldChar w:fldCharType="begin"/>
      </w:r>
      <w:r>
        <w:instrText xml:space="preserve"> XE "endnotes:N17E06:EndnotesE" </w:instrText>
      </w:r>
      <w:r>
        <w:fldChar w:fldCharType="end"/>
      </w:r>
      <w:r>
        <w:t>#</w:t>
      </w:r>
      <w:proofErr w:type="spellStart"/>
      <w:r>
        <w:t>EndnotesE</w:t>
      </w:r>
      <w:proofErr w:type="spellEnd"/>
    </w:p>
    <w:p w:rsidR="00A765C5" w:rsidRDefault="00A765C5" w:rsidP="00A765C5">
      <w:pPr>
        <w:pStyle w:val="CommentE"/>
      </w:pPr>
      <w:r>
        <w:fldChar w:fldCharType="begin"/>
      </w:r>
      <w:r>
        <w:instrText xml:space="preserve"> XE "comment:N17DFF" </w:instrText>
      </w:r>
      <w:r>
        <w:fldChar w:fldCharType="end"/>
      </w:r>
      <w:r>
        <w:t>#</w:t>
      </w:r>
      <w:proofErr w:type="spellStart"/>
      <w:r>
        <w:t>CommentE</w:t>
      </w:r>
      <w:proofErr w:type="spellEnd"/>
    </w:p>
    <w:p w:rsidR="00745DC2" w:rsidRDefault="00A765C5">
      <w:bookmarkStart w:id="0" w:name="_GoBack"/>
      <w:bookmarkEnd w:id="0"/>
    </w:p>
    <w:sectPr w:rsidR="00745D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5C5"/>
    <w:rsid w:val="006A35F9"/>
    <w:rsid w:val="00A765C5"/>
    <w:rsid w:val="00C734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GenericHead">
    <w:name w:val="n-GenericHead"/>
    <w:basedOn w:val="Normal"/>
    <w:autoRedefine/>
    <w:rsid w:val="00A765C5"/>
    <w:pPr>
      <w:tabs>
        <w:tab w:val="left" w:pos="567"/>
      </w:tabs>
      <w:spacing w:before="120" w:after="0" w:line="240" w:lineRule="auto"/>
    </w:pPr>
    <w:rPr>
      <w:rFonts w:ascii="Arial" w:eastAsia="Times New Roman" w:hAnsi="Arial" w:cs="Times New Roman"/>
      <w:sz w:val="24"/>
      <w:szCs w:val="20"/>
      <w:lang w:eastAsia="en-GB"/>
    </w:rPr>
  </w:style>
  <w:style w:type="paragraph" w:customStyle="1" w:styleId="n-Para">
    <w:name w:val="n-Para"/>
    <w:rsid w:val="00A765C5"/>
    <w:pPr>
      <w:tabs>
        <w:tab w:val="left" w:pos="567"/>
      </w:tabs>
      <w:spacing w:before="120" w:after="0" w:line="240" w:lineRule="auto"/>
    </w:pPr>
    <w:rPr>
      <w:rFonts w:ascii="Arial" w:eastAsia="Times New Roman" w:hAnsi="Arial" w:cs="Times New Roman"/>
      <w:sz w:val="20"/>
      <w:szCs w:val="20"/>
      <w:lang w:eastAsia="en-GB"/>
    </w:rPr>
  </w:style>
  <w:style w:type="paragraph" w:customStyle="1" w:styleId="n-List1">
    <w:name w:val="n-List1"/>
    <w:rsid w:val="00A765C5"/>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CommentB">
    <w:name w:val="#CommentB"/>
    <w:rsid w:val="00A765C5"/>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FF00FF"/>
      <w:sz w:val="20"/>
      <w:szCs w:val="20"/>
    </w:rPr>
  </w:style>
  <w:style w:type="paragraph" w:customStyle="1" w:styleId="CommentE">
    <w:name w:val="#CommentE"/>
    <w:rsid w:val="00A765C5"/>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FF00FF"/>
      <w:sz w:val="20"/>
      <w:szCs w:val="20"/>
    </w:rPr>
  </w:style>
  <w:style w:type="paragraph" w:customStyle="1" w:styleId="EndnotesB">
    <w:name w:val="#EndnotesB"/>
    <w:autoRedefine/>
    <w:rsid w:val="00A765C5"/>
    <w:pPr>
      <w:pBdr>
        <w:top w:val="thickThinMediumGap" w:sz="12" w:space="1" w:color="auto"/>
        <w:left w:val="thickThinMediumGap" w:sz="12" w:space="4" w:color="auto"/>
        <w:bottom w:val="thickThinMediumGap" w:sz="12" w:space="1" w:color="auto"/>
        <w:right w:val="thickThinMediumGap" w:sz="12" w:space="4" w:color="auto"/>
      </w:pBdr>
      <w:shd w:val="clear" w:color="auto" w:fill="FF00FF"/>
      <w:tabs>
        <w:tab w:val="left" w:pos="567"/>
      </w:tabs>
      <w:spacing w:before="120" w:after="0" w:line="240" w:lineRule="auto"/>
    </w:pPr>
    <w:rPr>
      <w:rFonts w:ascii="Arial" w:eastAsia="Times New Roman" w:hAnsi="Arial" w:cs="Arial"/>
      <w:b/>
      <w:bCs/>
      <w:sz w:val="20"/>
      <w:szCs w:val="20"/>
      <w:lang w:eastAsia="zh-TW"/>
    </w:rPr>
  </w:style>
  <w:style w:type="paragraph" w:customStyle="1" w:styleId="EndnotesE">
    <w:name w:val="#EndnotesE"/>
    <w:autoRedefine/>
    <w:rsid w:val="00A765C5"/>
    <w:pPr>
      <w:pBdr>
        <w:top w:val="single" w:sz="6" w:space="1" w:color="auto"/>
        <w:left w:val="single" w:sz="6" w:space="4" w:color="auto"/>
        <w:bottom w:val="single" w:sz="6" w:space="1" w:color="auto"/>
        <w:right w:val="single" w:sz="6" w:space="4" w:color="auto"/>
      </w:pBdr>
      <w:shd w:val="clear" w:color="auto" w:fill="FF00FF"/>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TTL">
    <w:name w:val="[TTL"/>
    <w:rsid w:val="00A765C5"/>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SNUM">
    <w:name w:val="[SNUM"/>
    <w:rsid w:val="00A765C5"/>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MAIN">
    <w:name w:val="[MAIN"/>
    <w:rsid w:val="00A765C5"/>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HDR">
    <w:name w:val="[PHDR"/>
    <w:rsid w:val="00A765C5"/>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A765C5"/>
    <w:pPr>
      <w:spacing w:before="240" w:after="0" w:line="240" w:lineRule="auto"/>
    </w:pPr>
    <w:rPr>
      <w:rFonts w:ascii="Arial" w:eastAsia="Times New Roman" w:hAnsi="Arial" w:cs="Times New Roman"/>
      <w:sz w:val="20"/>
      <w:szCs w:val="20"/>
      <w:lang w:eastAsia="en-GB"/>
    </w:rPr>
  </w:style>
  <w:style w:type="paragraph" w:customStyle="1" w:styleId="P2">
    <w:name w:val="[P2"/>
    <w:rsid w:val="00A765C5"/>
    <w:pPr>
      <w:spacing w:before="240" w:after="0" w:line="240" w:lineRule="auto"/>
      <w:ind w:left="1134" w:hanging="567"/>
    </w:pPr>
    <w:rPr>
      <w:rFonts w:ascii="Arial" w:eastAsia="Times New Roman" w:hAnsi="Arial" w:cs="Times New Roman"/>
      <w:sz w:val="20"/>
      <w:szCs w:val="20"/>
      <w:lang w:eastAsia="en-GB"/>
    </w:rPr>
  </w:style>
  <w:style w:type="character" w:customStyle="1" w:styleId="endnoteid">
    <w:name w:val="*endnoteid"/>
    <w:rsid w:val="00A765C5"/>
    <w:rPr>
      <w:color w:val="FF00FF"/>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GenericHead">
    <w:name w:val="n-GenericHead"/>
    <w:basedOn w:val="Normal"/>
    <w:autoRedefine/>
    <w:rsid w:val="00A765C5"/>
    <w:pPr>
      <w:tabs>
        <w:tab w:val="left" w:pos="567"/>
      </w:tabs>
      <w:spacing w:before="120" w:after="0" w:line="240" w:lineRule="auto"/>
    </w:pPr>
    <w:rPr>
      <w:rFonts w:ascii="Arial" w:eastAsia="Times New Roman" w:hAnsi="Arial" w:cs="Times New Roman"/>
      <w:sz w:val="24"/>
      <w:szCs w:val="20"/>
      <w:lang w:eastAsia="en-GB"/>
    </w:rPr>
  </w:style>
  <w:style w:type="paragraph" w:customStyle="1" w:styleId="n-Para">
    <w:name w:val="n-Para"/>
    <w:rsid w:val="00A765C5"/>
    <w:pPr>
      <w:tabs>
        <w:tab w:val="left" w:pos="567"/>
      </w:tabs>
      <w:spacing w:before="120" w:after="0" w:line="240" w:lineRule="auto"/>
    </w:pPr>
    <w:rPr>
      <w:rFonts w:ascii="Arial" w:eastAsia="Times New Roman" w:hAnsi="Arial" w:cs="Times New Roman"/>
      <w:sz w:val="20"/>
      <w:szCs w:val="20"/>
      <w:lang w:eastAsia="en-GB"/>
    </w:rPr>
  </w:style>
  <w:style w:type="paragraph" w:customStyle="1" w:styleId="n-List1">
    <w:name w:val="n-List1"/>
    <w:rsid w:val="00A765C5"/>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CommentB">
    <w:name w:val="#CommentB"/>
    <w:rsid w:val="00A765C5"/>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FF00FF"/>
      <w:sz w:val="20"/>
      <w:szCs w:val="20"/>
    </w:rPr>
  </w:style>
  <w:style w:type="paragraph" w:customStyle="1" w:styleId="CommentE">
    <w:name w:val="#CommentE"/>
    <w:rsid w:val="00A765C5"/>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FF00FF"/>
      <w:sz w:val="20"/>
      <w:szCs w:val="20"/>
    </w:rPr>
  </w:style>
  <w:style w:type="paragraph" w:customStyle="1" w:styleId="EndnotesB">
    <w:name w:val="#EndnotesB"/>
    <w:autoRedefine/>
    <w:rsid w:val="00A765C5"/>
    <w:pPr>
      <w:pBdr>
        <w:top w:val="thickThinMediumGap" w:sz="12" w:space="1" w:color="auto"/>
        <w:left w:val="thickThinMediumGap" w:sz="12" w:space="4" w:color="auto"/>
        <w:bottom w:val="thickThinMediumGap" w:sz="12" w:space="1" w:color="auto"/>
        <w:right w:val="thickThinMediumGap" w:sz="12" w:space="4" w:color="auto"/>
      </w:pBdr>
      <w:shd w:val="clear" w:color="auto" w:fill="FF00FF"/>
      <w:tabs>
        <w:tab w:val="left" w:pos="567"/>
      </w:tabs>
      <w:spacing w:before="120" w:after="0" w:line="240" w:lineRule="auto"/>
    </w:pPr>
    <w:rPr>
      <w:rFonts w:ascii="Arial" w:eastAsia="Times New Roman" w:hAnsi="Arial" w:cs="Arial"/>
      <w:b/>
      <w:bCs/>
      <w:sz w:val="20"/>
      <w:szCs w:val="20"/>
      <w:lang w:eastAsia="zh-TW"/>
    </w:rPr>
  </w:style>
  <w:style w:type="paragraph" w:customStyle="1" w:styleId="EndnotesE">
    <w:name w:val="#EndnotesE"/>
    <w:autoRedefine/>
    <w:rsid w:val="00A765C5"/>
    <w:pPr>
      <w:pBdr>
        <w:top w:val="single" w:sz="6" w:space="1" w:color="auto"/>
        <w:left w:val="single" w:sz="6" w:space="4" w:color="auto"/>
        <w:bottom w:val="single" w:sz="6" w:space="1" w:color="auto"/>
        <w:right w:val="single" w:sz="6" w:space="4" w:color="auto"/>
      </w:pBdr>
      <w:shd w:val="clear" w:color="auto" w:fill="FF00FF"/>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TTL">
    <w:name w:val="[TTL"/>
    <w:rsid w:val="00A765C5"/>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SNUM">
    <w:name w:val="[SNUM"/>
    <w:rsid w:val="00A765C5"/>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MAIN">
    <w:name w:val="[MAIN"/>
    <w:rsid w:val="00A765C5"/>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HDR">
    <w:name w:val="[PHDR"/>
    <w:rsid w:val="00A765C5"/>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A765C5"/>
    <w:pPr>
      <w:spacing w:before="240" w:after="0" w:line="240" w:lineRule="auto"/>
    </w:pPr>
    <w:rPr>
      <w:rFonts w:ascii="Arial" w:eastAsia="Times New Roman" w:hAnsi="Arial" w:cs="Times New Roman"/>
      <w:sz w:val="20"/>
      <w:szCs w:val="20"/>
      <w:lang w:eastAsia="en-GB"/>
    </w:rPr>
  </w:style>
  <w:style w:type="paragraph" w:customStyle="1" w:styleId="P2">
    <w:name w:val="[P2"/>
    <w:rsid w:val="00A765C5"/>
    <w:pPr>
      <w:spacing w:before="240" w:after="0" w:line="240" w:lineRule="auto"/>
      <w:ind w:left="1134" w:hanging="567"/>
    </w:pPr>
    <w:rPr>
      <w:rFonts w:ascii="Arial" w:eastAsia="Times New Roman" w:hAnsi="Arial" w:cs="Times New Roman"/>
      <w:sz w:val="20"/>
      <w:szCs w:val="20"/>
      <w:lang w:eastAsia="en-GB"/>
    </w:rPr>
  </w:style>
  <w:style w:type="character" w:customStyle="1" w:styleId="endnoteid">
    <w:name w:val="*endnoteid"/>
    <w:rsid w:val="00A765C5"/>
    <w:rPr>
      <w:color w:val="FF00FF"/>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3204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Balbinder Johal</dc:creator>
  <cp:lastModifiedBy>Balbinder Johal</cp:lastModifiedBy>
  <cp:revision>1</cp:revision>
  <dcterms:created xsi:type="dcterms:W3CDTF">2015-02-05T16:08:00Z</dcterms:created>
  <dcterms:modified xsi:type="dcterms:W3CDTF">2015-02-05T16:09:00Z</dcterms:modified>
</cp:coreProperties>
</file>