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1C" w:rsidRDefault="00F0221C" w:rsidP="00F0221C">
      <w:pPr>
        <w:pStyle w:val="SNUM"/>
      </w:pPr>
      <w:r>
        <w:fldChar w:fldCharType="begin"/>
      </w:r>
      <w:r>
        <w:instrText xml:space="preserve"> XE "officialnum:N1C1C8:[SNUM" </w:instrText>
      </w:r>
      <w:r>
        <w:fldChar w:fldCharType="end"/>
      </w:r>
      <w:r>
        <w:t>2010/42</w:t>
      </w:r>
    </w:p>
    <w:p w:rsidR="00F0221C" w:rsidRDefault="00F0221C" w:rsidP="00F0221C">
      <w:pPr>
        <w:pStyle w:val="TTL"/>
      </w:pPr>
      <w:r>
        <w:fldChar w:fldCharType="begin"/>
      </w:r>
      <w:r>
        <w:instrText xml:space="preserve"> XE "title:N1C1CF:[TTL" </w:instrText>
      </w:r>
      <w:r>
        <w:fldChar w:fldCharType="end"/>
      </w:r>
      <w:r>
        <w:t>First-tier Tribunal (Gambling) Fees Order 2010</w:t>
      </w:r>
    </w:p>
    <w:p w:rsidR="00F0221C" w:rsidRDefault="00F0221C" w:rsidP="00F0221C">
      <w:pPr>
        <w:pStyle w:val="n-ShortHead"/>
      </w:pPr>
      <w:r>
        <w:fldChar w:fldCharType="begin"/>
      </w:r>
      <w:r>
        <w:instrText xml:space="preserve"> XE "title-alt:N1C1D2:n-ShortHead" </w:instrText>
      </w:r>
      <w:r>
        <w:fldChar w:fldCharType="end"/>
      </w:r>
      <w:r>
        <w:t>First-tier Tribunal (Gambling) Fees Ord</w:t>
      </w:r>
    </w:p>
    <w:p w:rsidR="00F0221C" w:rsidRDefault="00F0221C" w:rsidP="00F0221C">
      <w:pPr>
        <w:pStyle w:val="MADE"/>
      </w:pPr>
      <w:r>
        <w:fldChar w:fldCharType="begin"/>
      </w:r>
      <w:r>
        <w:instrText xml:space="preserve"> XE "made:N1C1D4:[MADE" </w:instrText>
      </w:r>
      <w:r>
        <w:fldChar w:fldCharType="end"/>
      </w:r>
      <w:r>
        <w:t xml:space="preserve">Made </w:t>
      </w:r>
      <w:r>
        <w:tab/>
        <w:t>10 January 2010</w:t>
      </w:r>
    </w:p>
    <w:p w:rsidR="00F0221C" w:rsidRDefault="00F0221C" w:rsidP="00F0221C">
      <w:pPr>
        <w:pStyle w:val="LAID"/>
      </w:pPr>
      <w:r>
        <w:fldChar w:fldCharType="begin"/>
      </w:r>
      <w:r>
        <w:instrText xml:space="preserve"> XE "laid:N1C1DA:[LAID" </w:instrText>
      </w:r>
      <w:r>
        <w:fldChar w:fldCharType="end"/>
      </w:r>
      <w:r>
        <w:t xml:space="preserve">Laid before Parliament </w:t>
      </w:r>
      <w:r>
        <w:tab/>
        <w:t>12 January 2010</w:t>
      </w:r>
    </w:p>
    <w:p w:rsidR="00F0221C" w:rsidRDefault="00F0221C" w:rsidP="00F0221C">
      <w:pPr>
        <w:pStyle w:val="OPER"/>
      </w:pPr>
      <w:r>
        <w:fldChar w:fldCharType="begin"/>
      </w:r>
      <w:r>
        <w:instrText xml:space="preserve"> XE "operation:N1C1E0:[OPER" </w:instrText>
      </w:r>
      <w:r>
        <w:fldChar w:fldCharType="end"/>
      </w:r>
      <w:r>
        <w:t xml:space="preserve">Coming into force </w:t>
      </w:r>
      <w:r>
        <w:tab/>
        <w:t>18 January 2010</w:t>
      </w:r>
    </w:p>
    <w:p w:rsidR="00F0221C" w:rsidRDefault="00F0221C" w:rsidP="00F0221C">
      <w:pPr>
        <w:pStyle w:val="PREA"/>
      </w:pPr>
      <w:r>
        <w:fldChar w:fldCharType="begin"/>
      </w:r>
      <w:r>
        <w:instrText xml:space="preserve"> XE "preamble:N1C1E6:PREA" </w:instrText>
      </w:r>
      <w:r>
        <w:fldChar w:fldCharType="end"/>
      </w:r>
      <w:r>
        <w:t>[PREA</w:t>
      </w:r>
    </w:p>
    <w:p w:rsidR="00F0221C" w:rsidRDefault="00F0221C" w:rsidP="00F0221C">
      <w:pPr>
        <w:pStyle w:val="P1"/>
      </w:pPr>
      <w:r>
        <w:fldChar w:fldCharType="begin"/>
      </w:r>
      <w:r>
        <w:instrText xml:space="preserve"> XE "para1:N1C1E9:[P1" </w:instrText>
      </w:r>
      <w:r>
        <w:fldChar w:fldCharType="end"/>
      </w:r>
      <w:r>
        <w:t>The Lord Chancellor makes the following Order in exercise of the power conferred by section 42 of the Tribunals, Courts and Enforcement Act 2007.</w:t>
      </w:r>
    </w:p>
    <w:p w:rsidR="00F0221C" w:rsidRDefault="00F0221C" w:rsidP="00F0221C">
      <w:pPr>
        <w:pStyle w:val="P1"/>
      </w:pPr>
      <w:r>
        <w:fldChar w:fldCharType="begin"/>
      </w:r>
      <w:r>
        <w:instrText xml:space="preserve"> XE "para1:N1C1ED:[P1" </w:instrText>
      </w:r>
      <w:r>
        <w:fldChar w:fldCharType="end"/>
      </w:r>
      <w:r>
        <w:t>In accordance with section 42(5) of that Act the Lord Chancellor has consulted the Senior President of Tribunals and the Administrative Justice and Tribunals Council.</w:t>
      </w:r>
    </w:p>
    <w:p w:rsidR="00F0221C" w:rsidRDefault="00F0221C" w:rsidP="00F0221C">
      <w:pPr>
        <w:pStyle w:val="MAIN"/>
      </w:pPr>
      <w:r>
        <w:fldChar w:fldCharType="begin"/>
      </w:r>
      <w:r>
        <w:instrText xml:space="preserve"> XE "main:N1C1F1:MAIN" </w:instrText>
      </w:r>
      <w:r>
        <w:fldChar w:fldCharType="end"/>
      </w:r>
      <w:r>
        <w:t>[MAIN</w:t>
      </w:r>
    </w:p>
    <w:p w:rsidR="00F0221C" w:rsidRDefault="00F0221C" w:rsidP="00F0221C">
      <w:pPr>
        <w:pStyle w:val="PHDR"/>
      </w:pPr>
      <w:r>
        <w:fldChar w:fldCharType="begin"/>
      </w:r>
      <w:r>
        <w:instrText xml:space="preserve"> XE "provision:N1C1F4:[PHDR" </w:instrText>
      </w:r>
      <w:r>
        <w:fldChar w:fldCharType="end"/>
      </w:r>
      <w:r>
        <w:t>1</w:t>
      </w:r>
      <w:r>
        <w:tab/>
        <w:t>Citation and commencement</w:t>
      </w:r>
    </w:p>
    <w:p w:rsidR="00F0221C" w:rsidRDefault="00F0221C" w:rsidP="00F0221C">
      <w:pPr>
        <w:pStyle w:val="P1"/>
      </w:pPr>
      <w:r>
        <w:fldChar w:fldCharType="begin"/>
      </w:r>
      <w:r>
        <w:instrText xml:space="preserve"> XE "para1:N1C21B:[P1" </w:instrText>
      </w:r>
      <w:r>
        <w:fldChar w:fldCharType="end"/>
      </w:r>
      <w:r>
        <w:t>This Order may be cited as the First-tier Tribunal (Gambling) Fees Order 2010 and comes into force on 18 January 2010.</w:t>
      </w:r>
    </w:p>
    <w:p w:rsidR="00F0221C" w:rsidRDefault="00F0221C" w:rsidP="00F0221C">
      <w:pPr>
        <w:pStyle w:val="PHDR"/>
      </w:pPr>
      <w:r>
        <w:fldChar w:fldCharType="begin"/>
      </w:r>
      <w:r>
        <w:instrText xml:space="preserve"> XE "provision:N1C21F:[PHDR" </w:instrText>
      </w:r>
      <w:r>
        <w:fldChar w:fldCharType="end"/>
      </w:r>
      <w:r>
        <w:t>2</w:t>
      </w:r>
      <w:r>
        <w:tab/>
        <w:t>Fee for bringing an appeal under the Gambling Act 2005</w:t>
      </w:r>
    </w:p>
    <w:p w:rsidR="00F0221C" w:rsidRDefault="00F0221C" w:rsidP="00F0221C">
      <w:pPr>
        <w:pStyle w:val="P1"/>
      </w:pPr>
      <w:r>
        <w:fldChar w:fldCharType="begin"/>
      </w:r>
      <w:r>
        <w:instrText xml:space="preserve"> XE "para1:N1C246:[P1" </w:instrText>
      </w:r>
      <w:r>
        <w:fldChar w:fldCharType="end"/>
      </w:r>
      <w:r>
        <w:t>(1)</w:t>
      </w:r>
      <w:r>
        <w:tab/>
        <w:t>Subject to paragraph (2) and articles 3 and 4, the fees set out in column 2 of the table in [Schedule 1]</w:t>
      </w:r>
      <w:r>
        <w:rPr>
          <w:rStyle w:val="endnoteid"/>
        </w:rPr>
        <w:t>1</w:t>
      </w:r>
      <w:r>
        <w:t xml:space="preserve"> are payable in relation to an appeal to the First-tier Tribunal under the Gambling Act 2005 listed in column 1 of that table.</w:t>
      </w:r>
    </w:p>
    <w:p w:rsidR="00F0221C" w:rsidRDefault="00F0221C" w:rsidP="00F0221C">
      <w:pPr>
        <w:pStyle w:val="P1"/>
      </w:pPr>
      <w:r>
        <w:fldChar w:fldCharType="begin"/>
      </w:r>
      <w:r>
        <w:instrText xml:space="preserve"> XE "para1:N1C24F:[P1" </w:instrText>
      </w:r>
      <w:r>
        <w:fldChar w:fldCharType="end"/>
      </w:r>
      <w:r>
        <w:t>(2)</w:t>
      </w:r>
      <w:r>
        <w:tab/>
        <w:t>Where an appeal relates to a combination of any of the licences listed in fees 1.1 to 1.12 of column 1 of the table in [Schedule 1]</w:t>
      </w:r>
      <w:r>
        <w:rPr>
          <w:rStyle w:val="endnoteid"/>
        </w:rPr>
        <w:t>1</w:t>
      </w:r>
      <w:r>
        <w:t xml:space="preserve"> , only one fee is payable, and if those fees are different, only the highest fee is payable.</w:t>
      </w:r>
    </w:p>
    <w:p w:rsidR="00F0221C" w:rsidRDefault="00F0221C" w:rsidP="00F0221C">
      <w:pPr>
        <w:pStyle w:val="CommentB"/>
      </w:pPr>
      <w:r>
        <w:fldChar w:fldCharType="begin"/>
      </w:r>
      <w:r>
        <w:instrText xml:space="preserve"> XE "comment:N1C258" </w:instrText>
      </w:r>
      <w:r>
        <w:fldChar w:fldCharType="end"/>
      </w:r>
      <w:r>
        <w:t>#CommentB</w:t>
      </w:r>
    </w:p>
    <w:p w:rsidR="00F0221C" w:rsidRDefault="00F0221C" w:rsidP="00F0221C">
      <w:pPr>
        <w:pStyle w:val="n-GenericHead"/>
      </w:pPr>
      <w:r>
        <w:rPr>
          <w:b/>
          <w:bCs/>
        </w:rPr>
        <w:fldChar w:fldCharType="begin"/>
      </w:r>
      <w:r>
        <w:rPr>
          <w:b/>
          <w:bCs/>
        </w:rPr>
        <w:instrText xml:space="preserve"> XE "generic-hd:N1C25C:n-GenericHead" </w:instrText>
      </w:r>
      <w:r>
        <w:rPr>
          <w:b/>
          <w:bCs/>
        </w:rPr>
        <w:fldChar w:fldCharType="end"/>
      </w:r>
      <w:r>
        <w:rPr>
          <w:b/>
          <w:bCs/>
        </w:rPr>
        <w:t>Amendments—</w:t>
      </w:r>
      <w:r>
        <w:t xml:space="preserve"> </w:t>
      </w:r>
    </w:p>
    <w:p w:rsidR="00F0221C" w:rsidRDefault="00F0221C" w:rsidP="00F0221C">
      <w:pPr>
        <w:pStyle w:val="EndnotesB"/>
      </w:pPr>
      <w:r>
        <w:fldChar w:fldCharType="begin"/>
      </w:r>
      <w:r>
        <w:instrText xml:space="preserve"> XE "endnotes:N1C25F:EndnotesB" </w:instrText>
      </w:r>
      <w:r>
        <w:fldChar w:fldCharType="end"/>
      </w:r>
      <w:r>
        <w:t>#EndnotesB</w:t>
      </w:r>
    </w:p>
    <w:p w:rsidR="00F0221C" w:rsidRDefault="00F0221C" w:rsidP="00F0221C">
      <w:pPr>
        <w:pStyle w:val="n-List1"/>
      </w:pPr>
      <w:r>
        <w:fldChar w:fldCharType="begin"/>
      </w:r>
      <w:r>
        <w:instrText xml:space="preserve"> XE "para:N1C262:n-List1" </w:instrText>
      </w:r>
      <w:r>
        <w:fldChar w:fldCharType="end"/>
      </w:r>
      <w:r>
        <w:t>1</w:t>
      </w:r>
      <w:r>
        <w:tab/>
        <w:t>Words substituted for word “Schedule” by the Courts and Tribunals Fee Remissions Order, SI 2013/2302 art 9(1), (2) with effect from 7 October 2013.</w:t>
      </w:r>
    </w:p>
    <w:p w:rsidR="00F0221C" w:rsidRDefault="00F0221C" w:rsidP="00F0221C">
      <w:pPr>
        <w:pStyle w:val="EndnotesE"/>
      </w:pPr>
      <w:r>
        <w:fldChar w:fldCharType="begin"/>
      </w:r>
      <w:r>
        <w:instrText xml:space="preserve"> XE "endnotes:N1C25F:EndnotesE" </w:instrText>
      </w:r>
      <w:r>
        <w:fldChar w:fldCharType="end"/>
      </w:r>
      <w:r>
        <w:t>#EndnotesE</w:t>
      </w:r>
    </w:p>
    <w:p w:rsidR="00F0221C" w:rsidRDefault="00F0221C" w:rsidP="00F0221C">
      <w:pPr>
        <w:pStyle w:val="CommentE"/>
      </w:pPr>
      <w:r>
        <w:fldChar w:fldCharType="begin"/>
      </w:r>
      <w:r>
        <w:instrText xml:space="preserve"> XE "comment:N1C258" </w:instrText>
      </w:r>
      <w:r>
        <w:fldChar w:fldCharType="end"/>
      </w:r>
      <w:r>
        <w:t>#CommentE</w:t>
      </w:r>
    </w:p>
    <w:p w:rsidR="00F0221C" w:rsidRDefault="00F0221C" w:rsidP="00F0221C">
      <w:pPr>
        <w:pStyle w:val="PHDR"/>
      </w:pPr>
      <w:r>
        <w:fldChar w:fldCharType="begin"/>
      </w:r>
      <w:r>
        <w:instrText xml:space="preserve"> XE "provision:N1C264:[PHDR" </w:instrText>
      </w:r>
      <w:r>
        <w:fldChar w:fldCharType="end"/>
      </w:r>
      <w:r>
        <w:t>[3</w:t>
      </w:r>
      <w:r>
        <w:tab/>
        <w:t xml:space="preserve">Remissions and part remissions </w:t>
      </w:r>
    </w:p>
    <w:p w:rsidR="00F0221C" w:rsidRDefault="00F0221C" w:rsidP="00F0221C">
      <w:pPr>
        <w:pStyle w:val="P1"/>
      </w:pPr>
      <w:r>
        <w:fldChar w:fldCharType="begin"/>
      </w:r>
      <w:r>
        <w:instrText xml:space="preserve"> XE "para1:N1C28B:[P1" </w:instrText>
      </w:r>
      <w:r>
        <w:fldChar w:fldCharType="end"/>
      </w:r>
      <w:r>
        <w:t>Schedule 2 applies for the purpose of ascertaining whether a party is entitled to a remission or part remission of a fee prescribed by this Order.]</w:t>
      </w:r>
      <w:r>
        <w:rPr>
          <w:rStyle w:val="endnoteid"/>
        </w:rPr>
        <w:t>1</w:t>
      </w:r>
      <w:r>
        <w:t xml:space="preserve"> </w:t>
      </w:r>
    </w:p>
    <w:p w:rsidR="00F0221C" w:rsidRDefault="00F0221C" w:rsidP="00F0221C">
      <w:pPr>
        <w:pStyle w:val="CommentB"/>
      </w:pPr>
      <w:r>
        <w:fldChar w:fldCharType="begin"/>
      </w:r>
      <w:r>
        <w:instrText xml:space="preserve"> XE "comment:N1C291" </w:instrText>
      </w:r>
      <w:r>
        <w:fldChar w:fldCharType="end"/>
      </w:r>
      <w:r>
        <w:t>#CommentB</w:t>
      </w:r>
    </w:p>
    <w:p w:rsidR="00F0221C" w:rsidRDefault="00F0221C" w:rsidP="00F0221C">
      <w:pPr>
        <w:pStyle w:val="n-GenericHead"/>
      </w:pPr>
      <w:r>
        <w:rPr>
          <w:b/>
          <w:bCs/>
        </w:rPr>
        <w:fldChar w:fldCharType="begin"/>
      </w:r>
      <w:r>
        <w:rPr>
          <w:b/>
          <w:bCs/>
        </w:rPr>
        <w:instrText xml:space="preserve"> XE "generic-hd:N1C295:n-GenericHead" </w:instrText>
      </w:r>
      <w:r>
        <w:rPr>
          <w:b/>
          <w:bCs/>
        </w:rPr>
        <w:fldChar w:fldCharType="end"/>
      </w:r>
      <w:r>
        <w:rPr>
          <w:b/>
          <w:bCs/>
        </w:rPr>
        <w:t>Amendments—</w:t>
      </w:r>
      <w:r>
        <w:t xml:space="preserve"> </w:t>
      </w:r>
    </w:p>
    <w:p w:rsidR="00F0221C" w:rsidRDefault="00F0221C" w:rsidP="00F0221C">
      <w:pPr>
        <w:pStyle w:val="EndnotesB"/>
      </w:pPr>
      <w:r>
        <w:fldChar w:fldCharType="begin"/>
      </w:r>
      <w:r>
        <w:instrText xml:space="preserve"> XE "endnotes:N1C298:EndnotesB" </w:instrText>
      </w:r>
      <w:r>
        <w:fldChar w:fldCharType="end"/>
      </w:r>
      <w:r>
        <w:t>#EndnotesB</w:t>
      </w:r>
    </w:p>
    <w:p w:rsidR="00F0221C" w:rsidRDefault="00F0221C" w:rsidP="00F0221C">
      <w:pPr>
        <w:pStyle w:val="n-List1"/>
      </w:pPr>
      <w:r>
        <w:lastRenderedPageBreak/>
        <w:fldChar w:fldCharType="begin"/>
      </w:r>
      <w:r>
        <w:instrText xml:space="preserve"> XE "para:N1C29B:n-List1" </w:instrText>
      </w:r>
      <w:r>
        <w:fldChar w:fldCharType="end"/>
      </w:r>
      <w:r>
        <w:t>1</w:t>
      </w:r>
      <w:r>
        <w:tab/>
        <w:t>Article 3 substituted by the Courts and Tribunals Fee Remissions Order, SI 2013/2302 art 9(1), (3) with effect from 7 October 2013.</w:t>
      </w:r>
    </w:p>
    <w:p w:rsidR="00F0221C" w:rsidRDefault="00F0221C" w:rsidP="00F0221C">
      <w:pPr>
        <w:pStyle w:val="EndnotesE"/>
      </w:pPr>
      <w:r>
        <w:fldChar w:fldCharType="begin"/>
      </w:r>
      <w:r>
        <w:instrText xml:space="preserve"> XE "endnotes:N1C298:EndnotesE" </w:instrText>
      </w:r>
      <w:r>
        <w:fldChar w:fldCharType="end"/>
      </w:r>
      <w:r>
        <w:t>#EndnotesE</w:t>
      </w:r>
    </w:p>
    <w:p w:rsidR="00F0221C" w:rsidRDefault="00F0221C" w:rsidP="00F0221C">
      <w:pPr>
        <w:pStyle w:val="CommentE"/>
      </w:pPr>
      <w:r>
        <w:fldChar w:fldCharType="begin"/>
      </w:r>
      <w:r>
        <w:instrText xml:space="preserve"> XE "comment:N1C291" </w:instrText>
      </w:r>
      <w:r>
        <w:fldChar w:fldCharType="end"/>
      </w:r>
      <w:r>
        <w:t>#CommentE</w:t>
      </w:r>
    </w:p>
    <w:p w:rsidR="00F0221C" w:rsidRDefault="00F0221C" w:rsidP="00F0221C">
      <w:pPr>
        <w:pStyle w:val="PNUM"/>
      </w:pPr>
      <w:r>
        <w:fldChar w:fldCharType="begin"/>
      </w:r>
      <w:r>
        <w:instrText xml:space="preserve"> XE "provision:N1C29D:[PNUM" </w:instrText>
      </w:r>
      <w:r>
        <w:fldChar w:fldCharType="end"/>
      </w:r>
      <w:r>
        <w:t>4, 5</w:t>
      </w:r>
    </w:p>
    <w:p w:rsidR="00F0221C" w:rsidRDefault="00F0221C" w:rsidP="00F0221C">
      <w:pPr>
        <w:pStyle w:val="P1"/>
      </w:pPr>
      <w:r>
        <w:fldChar w:fldCharType="begin"/>
      </w:r>
      <w:r>
        <w:instrText xml:space="preserve"> XE "para1:N1C2BF:[P1" </w:instrText>
      </w:r>
      <w:r>
        <w:fldChar w:fldCharType="end"/>
      </w:r>
      <w:r>
        <w:t>…</w:t>
      </w:r>
      <w:r>
        <w:rPr>
          <w:rStyle w:val="endnoteid"/>
        </w:rPr>
        <w:t>1</w:t>
      </w:r>
      <w:r>
        <w:t xml:space="preserve"> </w:t>
      </w:r>
    </w:p>
    <w:p w:rsidR="00F0221C" w:rsidRDefault="00F0221C" w:rsidP="00F0221C">
      <w:pPr>
        <w:pStyle w:val="CommentB"/>
      </w:pPr>
      <w:r>
        <w:fldChar w:fldCharType="begin"/>
      </w:r>
      <w:r>
        <w:instrText xml:space="preserve"> XE "comment:N1C2C5" </w:instrText>
      </w:r>
      <w:r>
        <w:fldChar w:fldCharType="end"/>
      </w:r>
      <w:r>
        <w:t>#CommentB</w:t>
      </w:r>
    </w:p>
    <w:p w:rsidR="00F0221C" w:rsidRDefault="00F0221C" w:rsidP="00F0221C">
      <w:pPr>
        <w:pStyle w:val="n-GenericHead"/>
      </w:pPr>
      <w:r>
        <w:rPr>
          <w:b/>
          <w:bCs/>
        </w:rPr>
        <w:fldChar w:fldCharType="begin"/>
      </w:r>
      <w:r>
        <w:rPr>
          <w:b/>
          <w:bCs/>
        </w:rPr>
        <w:instrText xml:space="preserve"> XE "generic-hd:N1C2C9:n-GenericHead" </w:instrText>
      </w:r>
      <w:r>
        <w:rPr>
          <w:b/>
          <w:bCs/>
        </w:rPr>
        <w:fldChar w:fldCharType="end"/>
      </w:r>
      <w:r>
        <w:rPr>
          <w:b/>
          <w:bCs/>
        </w:rPr>
        <w:t>Amendments—</w:t>
      </w:r>
      <w:r>
        <w:t xml:space="preserve"> </w:t>
      </w:r>
    </w:p>
    <w:p w:rsidR="00F0221C" w:rsidRDefault="00F0221C" w:rsidP="00F0221C">
      <w:pPr>
        <w:pStyle w:val="EndnotesB"/>
      </w:pPr>
      <w:r>
        <w:fldChar w:fldCharType="begin"/>
      </w:r>
      <w:r>
        <w:instrText xml:space="preserve"> XE "endnotes:N1C2CC:EndnotesB" </w:instrText>
      </w:r>
      <w:r>
        <w:fldChar w:fldCharType="end"/>
      </w:r>
      <w:r>
        <w:t>#EndnotesB</w:t>
      </w:r>
    </w:p>
    <w:p w:rsidR="00F0221C" w:rsidRDefault="00F0221C" w:rsidP="00F0221C">
      <w:pPr>
        <w:pStyle w:val="n-List1"/>
      </w:pPr>
      <w:r>
        <w:fldChar w:fldCharType="begin"/>
      </w:r>
      <w:r>
        <w:instrText xml:space="preserve"> XE "para:N1C2CF:n-List1" </w:instrText>
      </w:r>
      <w:r>
        <w:fldChar w:fldCharType="end"/>
      </w:r>
      <w:r>
        <w:t>1</w:t>
      </w:r>
      <w:r>
        <w:tab/>
        <w:t>Articles 4, 5 revoked by the Courts and Tribunals Fee Remissions Order, SI 2013/2302 art 9(1), (4) with effect from 7 October 2013.</w:t>
      </w:r>
    </w:p>
    <w:p w:rsidR="00F0221C" w:rsidRDefault="00F0221C" w:rsidP="00F0221C">
      <w:pPr>
        <w:pStyle w:val="EndnotesE"/>
      </w:pPr>
      <w:r>
        <w:fldChar w:fldCharType="begin"/>
      </w:r>
      <w:r>
        <w:instrText xml:space="preserve"> XE "endnotes:N1C2CC:EndnotesE" </w:instrText>
      </w:r>
      <w:r>
        <w:fldChar w:fldCharType="end"/>
      </w:r>
      <w:r>
        <w:t>#EndnotesE</w:t>
      </w:r>
    </w:p>
    <w:p w:rsidR="00F0221C" w:rsidRDefault="00F0221C" w:rsidP="00F0221C">
      <w:pPr>
        <w:pStyle w:val="CommentE"/>
      </w:pPr>
      <w:r>
        <w:fldChar w:fldCharType="begin"/>
      </w:r>
      <w:r>
        <w:instrText xml:space="preserve"> XE "comment:N1C2C5" </w:instrText>
      </w:r>
      <w:r>
        <w:fldChar w:fldCharType="end"/>
      </w:r>
      <w:r>
        <w:t>#CommentE</w:t>
      </w:r>
    </w:p>
    <w:p w:rsidR="00F0221C" w:rsidRDefault="00F0221C" w:rsidP="00F0221C">
      <w:pPr>
        <w:pStyle w:val="SCHD"/>
      </w:pPr>
      <w:r>
        <w:fldChar w:fldCharType="begin"/>
      </w:r>
      <w:r>
        <w:instrText xml:space="preserve"> XE "schedule-grp:N1C2D1:[BLKH" </w:instrText>
      </w:r>
      <w:r>
        <w:fldChar w:fldCharType="end"/>
      </w:r>
      <w:r>
        <w:t>[SCHD</w:t>
      </w:r>
    </w:p>
    <w:p w:rsidR="00F0221C" w:rsidRDefault="00F0221C" w:rsidP="00F0221C">
      <w:pPr>
        <w:pStyle w:val="SC"/>
      </w:pPr>
      <w:r>
        <w:fldChar w:fldCharType="begin"/>
      </w:r>
      <w:r>
        <w:instrText xml:space="preserve"> XE "title:N1C2F1:[SC" </w:instrText>
      </w:r>
      <w:r>
        <w:fldChar w:fldCharType="end"/>
      </w:r>
      <w:r>
        <w:t>[[SCHEDULE 1]</w:t>
      </w:r>
      <w:r>
        <w:br/>
        <w:t>Fees to be Taken</w:t>
      </w:r>
    </w:p>
    <w:p w:rsidR="00F0221C" w:rsidRDefault="00F0221C" w:rsidP="00F0221C">
      <w:pPr>
        <w:pStyle w:val="SCEN"/>
      </w:pPr>
      <w:r>
        <w:fldChar w:fldCharType="begin"/>
      </w:r>
      <w:r>
        <w:instrText xml:space="preserve"> XE "enabling-legislation:N1C2F4:[SCEN" </w:instrText>
      </w:r>
      <w:r>
        <w:fldChar w:fldCharType="end"/>
      </w:r>
      <w:r>
        <w:t>Article 2</w:t>
      </w:r>
    </w:p>
    <w:p w:rsidR="00F0221C" w:rsidRDefault="00F0221C" w:rsidP="00F0221C">
      <w:pPr>
        <w:pStyle w:val="FTB"/>
      </w:pPr>
      <w:r>
        <w:fldChar w:fldCharType="begin"/>
      </w:r>
      <w:r>
        <w:instrText xml:space="preserve"> XE "table:N1C2F8:FTB" </w:instrText>
      </w:r>
      <w:r>
        <w:fldChar w:fldCharType="end"/>
      </w:r>
      <w:r>
        <w:t>[FTB</w:t>
      </w:r>
    </w:p>
    <w:p w:rsidR="00F0221C" w:rsidRDefault="00F0221C" w:rsidP="00F0221C">
      <w:pPr>
        <w:pStyle w:val="TableB"/>
      </w:pPr>
      <w:r>
        <w:fldChar w:fldCharType="begin"/>
      </w:r>
      <w:r>
        <w:instrText xml:space="preserve"> XE "table:N1C2F8:TableE"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91"/>
        <w:gridCol w:w="853"/>
        <w:gridCol w:w="860"/>
      </w:tblGrid>
      <w:tr w:rsidR="00F0221C" w:rsidTr="00D9401B">
        <w:trPr>
          <w:tblHeader/>
          <w:tblCellSpacing w:w="7" w:type="dxa"/>
        </w:trPr>
        <w:tc>
          <w:tcPr>
            <w:tcW w:w="0" w:type="auto"/>
            <w:tcBorders>
              <w:bottom w:val="single" w:sz="4" w:space="0" w:color="auto"/>
              <w:right w:val="single" w:sz="4" w:space="0" w:color="auto"/>
            </w:tcBorders>
            <w:hideMark/>
          </w:tcPr>
          <w:p w:rsidR="00F0221C" w:rsidRDefault="00F0221C" w:rsidP="00D9401B">
            <w:pPr>
              <w:pStyle w:val="Table"/>
            </w:pPr>
            <w:r>
              <w:fldChar w:fldCharType="begin"/>
            </w:r>
            <w:r>
              <w:instrText xml:space="preserve"> XE "entry:N1C313:Table" </w:instrText>
            </w:r>
            <w:r>
              <w:fldChar w:fldCharType="end"/>
            </w:r>
            <w:r>
              <w:fldChar w:fldCharType="begin"/>
            </w:r>
            <w:r>
              <w:instrText xml:space="preserve"> XE "para:N1C318:Table" </w:instrText>
            </w:r>
            <w:r>
              <w:fldChar w:fldCharType="end"/>
            </w:r>
            <w:r>
              <w:rPr>
                <w:i/>
                <w:iCs/>
              </w:rPr>
              <w:t>Appeal</w:t>
            </w:r>
            <w:r>
              <w:t xml:space="preserve"> </w:t>
            </w:r>
          </w:p>
        </w:tc>
        <w:tc>
          <w:tcPr>
            <w:tcW w:w="0" w:type="auto"/>
            <w:tcBorders>
              <w:bottom w:val="single" w:sz="4" w:space="0" w:color="auto"/>
              <w:right w:val="single" w:sz="4" w:space="0" w:color="auto"/>
            </w:tcBorders>
            <w:hideMark/>
          </w:tcPr>
          <w:p w:rsidR="00F0221C" w:rsidRDefault="00F0221C" w:rsidP="00D9401B">
            <w:pPr>
              <w:pStyle w:val="Table"/>
            </w:pPr>
            <w:r>
              <w:fldChar w:fldCharType="begin"/>
            </w:r>
            <w:r>
              <w:instrText xml:space="preserve"> XE "entry:N1C31C:Table" </w:instrText>
            </w:r>
            <w:r>
              <w:fldChar w:fldCharType="end"/>
            </w:r>
            <w:r>
              <w:fldChar w:fldCharType="begin"/>
            </w:r>
            <w:r>
              <w:instrText xml:space="preserve"> XE "para:N1C321:Table" </w:instrText>
            </w:r>
            <w:r>
              <w:fldChar w:fldCharType="end"/>
            </w:r>
            <w:r>
              <w:rPr>
                <w:i/>
                <w:iCs/>
              </w:rPr>
              <w:t>Column A</w:t>
            </w:r>
            <w:r>
              <w:t xml:space="preserve"> </w:t>
            </w:r>
          </w:p>
        </w:tc>
        <w:tc>
          <w:tcPr>
            <w:tcW w:w="0" w:type="auto"/>
            <w:tcBorders>
              <w:bottom w:val="single" w:sz="4" w:space="0" w:color="auto"/>
            </w:tcBorders>
            <w:hideMark/>
          </w:tcPr>
          <w:p w:rsidR="00F0221C" w:rsidRDefault="00F0221C" w:rsidP="00D9401B">
            <w:pPr>
              <w:pStyle w:val="Table"/>
            </w:pPr>
            <w:r>
              <w:fldChar w:fldCharType="begin"/>
            </w:r>
            <w:r>
              <w:instrText xml:space="preserve"> XE "entry:N1C325:Table" </w:instrText>
            </w:r>
            <w:r>
              <w:fldChar w:fldCharType="end"/>
            </w:r>
            <w:r>
              <w:fldChar w:fldCharType="begin"/>
            </w:r>
            <w:r>
              <w:instrText xml:space="preserve"> XE "para:N1C32A:Table" </w:instrText>
            </w:r>
            <w:r>
              <w:fldChar w:fldCharType="end"/>
            </w:r>
            <w:r>
              <w:rPr>
                <w:i/>
                <w:iCs/>
              </w:rPr>
              <w:t>Column B</w:t>
            </w:r>
            <w:r>
              <w:t xml:space="preserve"> </w:t>
            </w:r>
          </w:p>
        </w:tc>
      </w:tr>
      <w:tr w:rsidR="00F0221C" w:rsidTr="00D9401B">
        <w:trPr>
          <w:tblHeader/>
          <w:tblCellSpacing w:w="7" w:type="dxa"/>
        </w:trPr>
        <w:tc>
          <w:tcPr>
            <w:tcW w:w="0" w:type="auto"/>
            <w:tcBorders>
              <w:right w:val="single" w:sz="4" w:space="0" w:color="auto"/>
            </w:tcBorders>
            <w:hideMark/>
          </w:tcPr>
          <w:p w:rsidR="00F0221C" w:rsidRDefault="00F0221C" w:rsidP="00D9401B">
            <w:pPr>
              <w:pStyle w:val="Table"/>
            </w:pPr>
            <w:r>
              <w:fldChar w:fldCharType="begin"/>
            </w:r>
            <w:r>
              <w:instrText xml:space="preserve"> XE "entry:N1C32F:Table" </w:instrText>
            </w:r>
            <w:r>
              <w:fldChar w:fldCharType="end"/>
            </w:r>
          </w:p>
        </w:tc>
        <w:tc>
          <w:tcPr>
            <w:tcW w:w="0" w:type="auto"/>
            <w:tcBorders>
              <w:right w:val="single" w:sz="4" w:space="0" w:color="auto"/>
            </w:tcBorders>
            <w:hideMark/>
          </w:tcPr>
          <w:p w:rsidR="00F0221C" w:rsidRDefault="00F0221C" w:rsidP="00D9401B">
            <w:pPr>
              <w:pStyle w:val="Table"/>
            </w:pPr>
            <w:r>
              <w:fldChar w:fldCharType="begin"/>
            </w:r>
            <w:r>
              <w:instrText xml:space="preserve"> XE "entry:N1C334:Table" </w:instrText>
            </w:r>
            <w:r>
              <w:fldChar w:fldCharType="end"/>
            </w:r>
            <w:r>
              <w:fldChar w:fldCharType="begin"/>
            </w:r>
            <w:r>
              <w:instrText xml:space="preserve"> XE "para:N1C339:Table" </w:instrText>
            </w:r>
            <w:r>
              <w:fldChar w:fldCharType="end"/>
            </w:r>
            <w:r>
              <w:rPr>
                <w:i/>
                <w:iCs/>
              </w:rPr>
              <w:t>New fee</w:t>
            </w:r>
            <w:r>
              <w:t xml:space="preserve"> </w:t>
            </w:r>
          </w:p>
        </w:tc>
        <w:tc>
          <w:tcPr>
            <w:tcW w:w="0" w:type="auto"/>
            <w:hideMark/>
          </w:tcPr>
          <w:p w:rsidR="00F0221C" w:rsidRDefault="00F0221C" w:rsidP="00D9401B">
            <w:pPr>
              <w:pStyle w:val="Table"/>
            </w:pPr>
            <w:r>
              <w:fldChar w:fldCharType="begin"/>
            </w:r>
            <w:r>
              <w:instrText xml:space="preserve"> XE "entry:N1C33D:Table" </w:instrText>
            </w:r>
            <w:r>
              <w:fldChar w:fldCharType="end"/>
            </w:r>
            <w:r>
              <w:fldChar w:fldCharType="begin"/>
            </w:r>
            <w:r>
              <w:instrText xml:space="preserve"> XE "para:N1C342:Table" </w:instrText>
            </w:r>
            <w:r>
              <w:fldChar w:fldCharType="end"/>
            </w:r>
            <w:r>
              <w:rPr>
                <w:i/>
                <w:iCs/>
              </w:rPr>
              <w:t>Old fee</w:t>
            </w:r>
            <w:r>
              <w:t xml:space="preserve"> </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"entry:N1C349:Table" </w:instrText>
            </w:r>
            <w:r>
              <w:fldChar w:fldCharType="end"/>
            </w:r>
            <w:r>
              <w:fldChar w:fldCharType="begin"/>
            </w:r>
            <w:r>
              <w:instrText xml:space="preserve"> XE "para:N1C34E:Table" </w:instrText>
            </w:r>
            <w:r>
              <w:fldChar w:fldCharType="end"/>
            </w:r>
            <w:r>
              <w:t>1 On filing an appeal under section 141 of the Gambling Act 2005 in relation to—</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"entry:N1C350:Table" </w:instrText>
            </w:r>
            <w:r>
              <w:fldChar w:fldCharType="end"/>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"entry:N1C356:Table" </w:instrText>
            </w:r>
            <w:r>
              <w:fldChar w:fldCharType="end"/>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"entry:N1C35C:Table" </w:instrText>
            </w:r>
            <w:r>
              <w:fldChar w:fldCharType="end"/>
            </w:r>
            <w:r>
              <w:fldChar w:fldCharType="begin"/>
            </w:r>
            <w:r>
              <w:instrText xml:space="preserve"> XE "para:N1C361:Table" </w:instrText>
            </w:r>
            <w:r>
              <w:fldChar w:fldCharType="end"/>
            </w:r>
            <w:r>
              <w:t>1.1 a casino operating licence referred to in section 65(2)(</w:t>
            </w:r>
            <w:r>
              <w:rPr>
                <w:i/>
                <w:iCs/>
              </w:rPr>
              <w:t>a</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"entry:N1C367:Table" </w:instrText>
            </w:r>
            <w:r>
              <w:fldChar w:fldCharType="end"/>
            </w:r>
            <w:r>
              <w:fldChar w:fldCharType="begin"/>
            </w:r>
            <w:r>
              <w:instrText xml:space="preserve"> XE "para:N1C36D:Table" </w:instrText>
            </w:r>
            <w:r>
              <w:fldChar w:fldCharType="end"/>
            </w:r>
            <w:r>
              <w:t>£14,000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"entry:N1C36F:Table" </w:instrText>
            </w:r>
            <w:r>
              <w:fldChar w:fldCharType="end"/>
            </w:r>
            <w:r>
              <w:fldChar w:fldCharType="begin"/>
            </w:r>
            <w:r>
              <w:instrText xml:space="preserve"> XE "para:N1C373:Table" </w:instrText>
            </w:r>
            <w:r>
              <w:fldChar w:fldCharType="end"/>
            </w:r>
            <w:r>
              <w:t>£13,070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"entry:N1C377:Table" </w:instrText>
            </w:r>
            <w:r>
              <w:fldChar w:fldCharType="end"/>
            </w:r>
            <w:r>
              <w:fldChar w:fldCharType="begin"/>
            </w:r>
            <w:r>
              <w:instrText xml:space="preserve"> XE "para:N1C37C:Table" </w:instrText>
            </w:r>
            <w:r>
              <w:fldChar w:fldCharType="end"/>
            </w:r>
            <w:r>
              <w:t>1.2 a bingo operating licence referred to in section 65(2)(</w:t>
            </w:r>
            <w:r>
              <w:rPr>
                <w:i/>
                <w:iCs/>
              </w:rPr>
              <w:t>b</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"entry:N1C382:Table" </w:instrText>
            </w:r>
            <w:r>
              <w:fldChar w:fldCharType="end"/>
            </w:r>
            <w:r>
              <w:fldChar w:fldCharType="begin"/>
            </w:r>
            <w:r>
              <w:instrText xml:space="preserve"> XE "para:N1C388:Table" </w:instrText>
            </w:r>
            <w:r>
              <w:fldChar w:fldCharType="end"/>
            </w:r>
            <w:r>
              <w:t>£3,100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"entry:N1C38A:Table" </w:instrText>
            </w:r>
            <w:r>
              <w:fldChar w:fldCharType="end"/>
            </w:r>
            <w:r>
              <w:fldChar w:fldCharType="begin"/>
            </w:r>
            <w:r>
              <w:instrText xml:space="preserve"> XE "para:N1C38E:Table" </w:instrText>
            </w:r>
            <w:r>
              <w:fldChar w:fldCharType="end"/>
            </w:r>
            <w:r>
              <w:t>£2,905</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"entry:N1C392:Table" </w:instrText>
            </w:r>
            <w:r>
              <w:fldChar w:fldCharType="end"/>
            </w:r>
            <w:r>
              <w:fldChar w:fldCharType="begin"/>
            </w:r>
            <w:r>
              <w:instrText xml:space="preserve"> XE "para:N1C397:Table" </w:instrText>
            </w:r>
            <w:r>
              <w:fldChar w:fldCharType="end"/>
            </w:r>
            <w:r>
              <w:t>1.3 a general betting operating licence referred to in section 65(2)(</w:t>
            </w:r>
            <w:r>
              <w:rPr>
                <w:i/>
                <w:iCs/>
              </w:rPr>
              <w:t>c</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"entry:N1C39D:Table" </w:instrText>
            </w:r>
            <w:r>
              <w:fldChar w:fldCharType="end"/>
            </w:r>
            <w:r>
              <w:fldChar w:fldCharType="begin"/>
            </w:r>
            <w:r>
              <w:instrText xml:space="preserve"> XE "para:N1C3A3:Table" </w:instrText>
            </w:r>
            <w:r>
              <w:fldChar w:fldCharType="end"/>
            </w:r>
            <w:r>
              <w:t>£10,000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"entry:N1C3A5:Table" </w:instrText>
            </w:r>
            <w:r>
              <w:fldChar w:fldCharType="end"/>
            </w:r>
            <w:r>
              <w:fldChar w:fldCharType="begin"/>
            </w:r>
            <w:r>
              <w:instrText xml:space="preserve"> XE "para:N1C3A9:Table" </w:instrText>
            </w:r>
            <w:r>
              <w:fldChar w:fldCharType="end"/>
            </w:r>
            <w:r>
              <w:t>£9,335</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"entry:N1C3AD:Table" </w:instrText>
            </w:r>
            <w:r>
              <w:fldChar w:fldCharType="end"/>
            </w:r>
            <w:r>
              <w:fldChar w:fldCharType="begin"/>
            </w:r>
            <w:r>
              <w:instrText xml:space="preserve"> XE "para:N1C3B2:Table" </w:instrText>
            </w:r>
            <w:r>
              <w:fldChar w:fldCharType="end"/>
            </w:r>
            <w:r>
              <w:t>1.4 a pool betting operating licence referred to in section 65(2)(</w:t>
            </w:r>
            <w:r>
              <w:rPr>
                <w:i/>
                <w:iCs/>
              </w:rPr>
              <w:t>d</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"entry:N1C3B8:Table" </w:instrText>
            </w:r>
            <w:r>
              <w:fldChar w:fldCharType="end"/>
            </w:r>
            <w:r>
              <w:fldChar w:fldCharType="begin"/>
            </w:r>
            <w:r>
              <w:instrText xml:space="preserve"> XE "para:N1C3BE:Table" </w:instrText>
            </w:r>
            <w:r>
              <w:fldChar w:fldCharType="end"/>
            </w:r>
            <w:r>
              <w:t>£10,000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"entry:N1C3C0:Table" </w:instrText>
            </w:r>
            <w:r>
              <w:fldChar w:fldCharType="end"/>
            </w:r>
            <w:r>
              <w:fldChar w:fldCharType="begin"/>
            </w:r>
            <w:r>
              <w:instrText xml:space="preserve"> XE "para:N1C3C4:Table" </w:instrText>
            </w:r>
            <w:r>
              <w:fldChar w:fldCharType="end"/>
            </w:r>
            <w:r>
              <w:t>£9,335</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"entry:N1C3C8:Table" </w:instrText>
            </w:r>
            <w:r>
              <w:fldChar w:fldCharType="end"/>
            </w:r>
            <w:r>
              <w:fldChar w:fldCharType="begin"/>
            </w:r>
            <w:r>
              <w:instrText xml:space="preserve"> XE "para:N1C3CD:Table" </w:instrText>
            </w:r>
            <w:r>
              <w:fldChar w:fldCharType="end"/>
            </w:r>
            <w:r>
              <w:t>1.5 a betting intermediary operating licence referred to in section 65(2)(</w:t>
            </w:r>
            <w:r>
              <w:rPr>
                <w:i/>
                <w:iCs/>
              </w:rPr>
              <w:t>e</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"entry:N1C3D3:Table" </w:instrText>
            </w:r>
            <w:r>
              <w:fldChar w:fldCharType="end"/>
            </w:r>
            <w:r>
              <w:fldChar w:fldCharType="begin"/>
            </w:r>
            <w:r>
              <w:instrText xml:space="preserve"> XE "para:N1C3D9:Table" </w:instrText>
            </w:r>
            <w:r>
              <w:fldChar w:fldCharType="end"/>
            </w:r>
            <w:r>
              <w:t>£10,000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"entry:N1C3DB:Table" </w:instrText>
            </w:r>
            <w:r>
              <w:fldChar w:fldCharType="end"/>
            </w:r>
            <w:r>
              <w:fldChar w:fldCharType="begin"/>
            </w:r>
            <w:r>
              <w:instrText xml:space="preserve"> XE "para:N1C3DF:Table" </w:instrText>
            </w:r>
            <w:r>
              <w:fldChar w:fldCharType="end"/>
            </w:r>
            <w:r>
              <w:t>£9,335</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"entry:N1C3E3:Table" </w:instrText>
            </w:r>
            <w:r>
              <w:fldChar w:fldCharType="end"/>
            </w:r>
            <w:r>
              <w:fldChar w:fldCharType="begin"/>
            </w:r>
            <w:r>
              <w:instrText xml:space="preserve"> XE "para:N1C3E8:Table" </w:instrText>
            </w:r>
            <w:r>
              <w:fldChar w:fldCharType="end"/>
            </w:r>
            <w:r>
              <w:t>1.6 a gaming machine general operating licence for an adult gaming centre referred to in section 65(2)(</w:t>
            </w:r>
            <w:r>
              <w:rPr>
                <w:i/>
                <w:iCs/>
              </w:rPr>
              <w:t>f</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"entry:N1C3EE:Table" </w:instrText>
            </w:r>
            <w:r>
              <w:fldChar w:fldCharType="end"/>
            </w:r>
            <w:r>
              <w:fldChar w:fldCharType="begin"/>
            </w:r>
            <w:r>
              <w:instrText xml:space="preserve"> XE "para:N1C3F4:Table" </w:instrText>
            </w:r>
            <w:r>
              <w:fldChar w:fldCharType="end"/>
            </w:r>
            <w:r>
              <w:t>£1,600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"entry:N1C3F6:Table" </w:instrText>
            </w:r>
            <w:r>
              <w:fldChar w:fldCharType="end"/>
            </w:r>
            <w:r>
              <w:fldChar w:fldCharType="begin"/>
            </w:r>
            <w:r>
              <w:instrText xml:space="preserve"> XE "para:N1C3FA:Table" </w:instrText>
            </w:r>
            <w:r>
              <w:fldChar w:fldCharType="end"/>
            </w:r>
            <w:r>
              <w:t>£1,450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"entry:N1C3FE:Table" </w:instrText>
            </w:r>
            <w:r>
              <w:fldChar w:fldCharType="end"/>
            </w:r>
            <w:r>
              <w:fldChar w:fldCharType="begin"/>
            </w:r>
            <w:r>
              <w:instrText xml:space="preserve"> XE "para:N1C403:Table" </w:instrText>
            </w:r>
            <w:r>
              <w:fldChar w:fldCharType="end"/>
            </w:r>
            <w:r>
              <w:t>1.7 a gaming machine general operating licence for a family entertainment centre referred to in section 65(2)(</w:t>
            </w:r>
            <w:r>
              <w:rPr>
                <w:i/>
                <w:iCs/>
              </w:rPr>
              <w:t>g</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"entry:N1C409:Table" </w:instrText>
            </w:r>
            <w:r>
              <w:fldChar w:fldCharType="end"/>
            </w:r>
            <w:r>
              <w:fldChar w:fldCharType="begin"/>
            </w:r>
            <w:r>
              <w:instrText xml:space="preserve"> XE "para:N1C40F:Table" </w:instrText>
            </w:r>
            <w:r>
              <w:fldChar w:fldCharType="end"/>
            </w:r>
            <w:r>
              <w:t>£1,600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"entry:N1C411:Table" </w:instrText>
            </w:r>
            <w:r>
              <w:fldChar w:fldCharType="end"/>
            </w:r>
            <w:r>
              <w:fldChar w:fldCharType="begin"/>
            </w:r>
            <w:r>
              <w:instrText xml:space="preserve"> XE "para:N1C415:Table" </w:instrText>
            </w:r>
            <w:r>
              <w:fldChar w:fldCharType="end"/>
            </w:r>
            <w:r>
              <w:t>£1,450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"entry:N1C419:Table" </w:instrText>
            </w:r>
            <w:r>
              <w:fldChar w:fldCharType="end"/>
            </w:r>
            <w:r>
              <w:fldChar w:fldCharType="begin"/>
            </w:r>
            <w:r>
              <w:instrText xml:space="preserve"> XE "para:N1C41E:Table" </w:instrText>
            </w:r>
            <w:r>
              <w:fldChar w:fldCharType="end"/>
            </w:r>
            <w:r>
              <w:t>1.8 a gaming machine technical operating licence referred to in section 65(2)(</w:t>
            </w:r>
            <w:r>
              <w:rPr>
                <w:i/>
                <w:iCs/>
              </w:rPr>
              <w:t>h</w:t>
            </w:r>
            <w:r>
              <w:t>)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"entry:N1C424:Table" </w:instrText>
            </w:r>
            <w:r>
              <w:fldChar w:fldCharType="end"/>
            </w:r>
            <w:r>
              <w:fldChar w:fldCharType="begin"/>
            </w:r>
            <w:r>
              <w:instrText xml:space="preserve"> XE "para:N1C42A:Table" </w:instrText>
            </w:r>
            <w:r>
              <w:fldChar w:fldCharType="end"/>
            </w:r>
            <w:r>
              <w:t>£1,600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"entry:N1C42C:Table" </w:instrText>
            </w:r>
            <w:r>
              <w:fldChar w:fldCharType="end"/>
            </w:r>
            <w:r>
              <w:fldChar w:fldCharType="begin"/>
            </w:r>
            <w:r>
              <w:instrText xml:space="preserve"> XE "para:N1C430:Table" </w:instrText>
            </w:r>
            <w:r>
              <w:fldChar w:fldCharType="end"/>
            </w:r>
            <w:r>
              <w:t>£1,450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lastRenderedPageBreak/>
              <w:fldChar w:fldCharType="begin"/>
            </w:r>
            <w:r>
              <w:instrText xml:space="preserve"> XE "entry:N1C434:Table" </w:instrText>
            </w:r>
            <w:r>
              <w:fldChar w:fldCharType="end"/>
            </w:r>
            <w:r>
              <w:fldChar w:fldCharType="begin"/>
            </w:r>
            <w:r>
              <w:instrText xml:space="preserve"> XE "para:N1C439:Table" </w:instrText>
            </w:r>
            <w:r>
              <w:fldChar w:fldCharType="end"/>
            </w:r>
            <w:r>
              <w:t>1.9 a gambling software operating licence referred to in with section 65(2)(i)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"entry:N1C43B:Table" </w:instrText>
            </w:r>
            <w:r>
              <w:fldChar w:fldCharType="end"/>
            </w:r>
            <w:r>
              <w:fldChar w:fldCharType="begin"/>
            </w:r>
            <w:r>
              <w:instrText xml:space="preserve"> XE "para:N1C441:Table" </w:instrText>
            </w:r>
            <w:r>
              <w:fldChar w:fldCharType="end"/>
            </w:r>
            <w:r>
              <w:t>£1,600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"entry:N1C443:Table" </w:instrText>
            </w:r>
            <w:r>
              <w:fldChar w:fldCharType="end"/>
            </w:r>
            <w:r>
              <w:fldChar w:fldCharType="begin"/>
            </w:r>
            <w:r>
              <w:instrText xml:space="preserve"> XE "para:N1C447:Table" </w:instrText>
            </w:r>
            <w:r>
              <w:fldChar w:fldCharType="end"/>
            </w:r>
            <w:r>
              <w:t>£1,450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"entry:N1C44B:Table" </w:instrText>
            </w:r>
            <w:r>
              <w:fldChar w:fldCharType="end"/>
            </w:r>
            <w:r>
              <w:fldChar w:fldCharType="begin"/>
            </w:r>
            <w:r>
              <w:instrText xml:space="preserve"> XE "para:N1C450:Table" </w:instrText>
            </w:r>
            <w:r>
              <w:fldChar w:fldCharType="end"/>
            </w:r>
            <w:r>
              <w:t>1.10 a lottery operating licence referred to in section 65(2)(j)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"entry:N1C452:Table" </w:instrText>
            </w:r>
            <w:r>
              <w:fldChar w:fldCharType="end"/>
            </w:r>
            <w:r>
              <w:fldChar w:fldCharType="begin"/>
            </w:r>
            <w:r>
              <w:instrText xml:space="preserve"> XE "para:N1C458:Table" </w:instrText>
            </w:r>
            <w:r>
              <w:fldChar w:fldCharType="end"/>
            </w:r>
            <w:r>
              <w:t>£9,400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"entry:N1C45A:Table" </w:instrText>
            </w:r>
            <w:r>
              <w:fldChar w:fldCharType="end"/>
            </w:r>
            <w:r>
              <w:fldChar w:fldCharType="begin"/>
            </w:r>
            <w:r>
              <w:instrText xml:space="preserve"> XE "para:N1C45E:Table" </w:instrText>
            </w:r>
            <w:r>
              <w:fldChar w:fldCharType="end"/>
            </w:r>
            <w:r>
              <w:t>£8,710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"entry:N1C462:Table" </w:instrText>
            </w:r>
            <w:r>
              <w:fldChar w:fldCharType="end"/>
            </w:r>
            <w:r>
              <w:fldChar w:fldCharType="begin"/>
            </w:r>
            <w:r>
              <w:instrText xml:space="preserve"> XE "para:N1C467:Table" </w:instrText>
            </w:r>
            <w:r>
              <w:fldChar w:fldCharType="end"/>
            </w:r>
            <w:r>
              <w:t>1.11 a personal management office licence referred to in section 127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"entry:N1C469:Table" </w:instrText>
            </w:r>
            <w:r>
              <w:fldChar w:fldCharType="end"/>
            </w:r>
            <w:r>
              <w:fldChar w:fldCharType="begin"/>
            </w:r>
            <w:r>
              <w:instrText xml:space="preserve"> XE "para:N1C46F:Table" </w:instrText>
            </w:r>
            <w:r>
              <w:fldChar w:fldCharType="end"/>
            </w:r>
            <w:r>
              <w:t>£1,600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"entry:N1C471:Table" </w:instrText>
            </w:r>
            <w:r>
              <w:fldChar w:fldCharType="end"/>
            </w:r>
            <w:r>
              <w:fldChar w:fldCharType="begin"/>
            </w:r>
            <w:r>
              <w:instrText xml:space="preserve"> XE "para:N1C475:Table" </w:instrText>
            </w:r>
            <w:r>
              <w:fldChar w:fldCharType="end"/>
            </w:r>
            <w:r>
              <w:t>£1,450</w:t>
            </w:r>
          </w:p>
        </w:tc>
      </w:tr>
      <w:tr w:rsidR="00F0221C" w:rsidTr="00D9401B">
        <w:trPr>
          <w:tblCellSpacing w:w="7" w:type="dxa"/>
        </w:trPr>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"entry:N1C479:Table" </w:instrText>
            </w:r>
            <w:r>
              <w:fldChar w:fldCharType="end"/>
            </w:r>
            <w:r>
              <w:fldChar w:fldCharType="begin"/>
            </w:r>
            <w:r>
              <w:instrText xml:space="preserve"> XE "para:N1C47E:Table" </w:instrText>
            </w:r>
            <w:r>
              <w:fldChar w:fldCharType="end"/>
            </w:r>
            <w:r>
              <w:t>1.12 a personal operational function licence referred to in section 127 of that Act</w:t>
            </w:r>
          </w:p>
        </w:tc>
        <w:tc>
          <w:tcPr>
            <w:tcW w:w="0" w:type="auto"/>
            <w:tcBorders>
              <w:bottom w:val="single" w:sz="4" w:space="0" w:color="auto"/>
              <w:right w:val="single" w:sz="4" w:space="0" w:color="auto"/>
            </w:tcBorders>
            <w:vAlign w:val="center"/>
            <w:hideMark/>
          </w:tcPr>
          <w:p w:rsidR="00F0221C" w:rsidRDefault="00F0221C" w:rsidP="00D9401B">
            <w:pPr>
              <w:pStyle w:val="Table"/>
            </w:pPr>
            <w:r>
              <w:fldChar w:fldCharType="begin"/>
            </w:r>
            <w:r>
              <w:instrText xml:space="preserve"> XE "entry:N1C480:Table" </w:instrText>
            </w:r>
            <w:r>
              <w:fldChar w:fldCharType="end"/>
            </w:r>
            <w:r>
              <w:fldChar w:fldCharType="begin"/>
            </w:r>
            <w:r>
              <w:instrText xml:space="preserve"> XE "para:N1C486:Table" </w:instrText>
            </w:r>
            <w:r>
              <w:fldChar w:fldCharType="end"/>
            </w:r>
            <w:r>
              <w:t>£800</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"entry:N1C488:Table" </w:instrText>
            </w:r>
            <w:r>
              <w:fldChar w:fldCharType="end"/>
            </w:r>
            <w:r>
              <w:fldChar w:fldCharType="begin"/>
            </w:r>
            <w:r>
              <w:instrText xml:space="preserve"> XE "para:N1C48C:Table" </w:instrText>
            </w:r>
            <w:r>
              <w:fldChar w:fldCharType="end"/>
            </w:r>
            <w:r>
              <w:t>£755</w:t>
            </w:r>
          </w:p>
        </w:tc>
      </w:tr>
      <w:tr w:rsidR="00F0221C" w:rsidTr="00D9401B">
        <w:trPr>
          <w:tblCellSpacing w:w="7" w:type="dxa"/>
        </w:trPr>
        <w:tc>
          <w:tcPr>
            <w:tcW w:w="0" w:type="auto"/>
            <w:tcBorders>
              <w:right w:val="single" w:sz="4" w:space="0" w:color="auto"/>
            </w:tcBorders>
            <w:vAlign w:val="center"/>
            <w:hideMark/>
          </w:tcPr>
          <w:p w:rsidR="00F0221C" w:rsidRDefault="00F0221C" w:rsidP="00D9401B">
            <w:pPr>
              <w:pStyle w:val="Table"/>
            </w:pPr>
            <w:r>
              <w:fldChar w:fldCharType="begin"/>
            </w:r>
            <w:r>
              <w:instrText xml:space="preserve"> XE "entry:N1C490:Table" </w:instrText>
            </w:r>
            <w:r>
              <w:fldChar w:fldCharType="end"/>
            </w:r>
            <w:r>
              <w:fldChar w:fldCharType="begin"/>
            </w:r>
            <w:r>
              <w:instrText xml:space="preserve"> XE "para:N1C495:Table" </w:instrText>
            </w:r>
            <w:r>
              <w:fldChar w:fldCharType="end"/>
            </w:r>
            <w:r>
              <w:t>2 On filing an appeal under section 337(1) of the Gambling Act 2005 against the Gambling Commission's order to void a bet under section 336(1) of that Act</w:t>
            </w:r>
          </w:p>
        </w:tc>
        <w:tc>
          <w:tcPr>
            <w:tcW w:w="0" w:type="auto"/>
            <w:tcBorders>
              <w:right w:val="single" w:sz="4" w:space="0" w:color="auto"/>
            </w:tcBorders>
            <w:vAlign w:val="center"/>
            <w:hideMark/>
          </w:tcPr>
          <w:p w:rsidR="00F0221C" w:rsidRDefault="00F0221C" w:rsidP="00D9401B">
            <w:pPr>
              <w:pStyle w:val="Table"/>
            </w:pPr>
            <w:r>
              <w:fldChar w:fldCharType="begin"/>
            </w:r>
            <w:r>
              <w:instrText xml:space="preserve"> XE "entry:N1C497:Table" </w:instrText>
            </w:r>
            <w:r>
              <w:fldChar w:fldCharType="end"/>
            </w:r>
            <w:r>
              <w:fldChar w:fldCharType="begin"/>
            </w:r>
            <w:r>
              <w:instrText xml:space="preserve"> XE "para:N1C49D:Table" </w:instrText>
            </w:r>
            <w:r>
              <w:fldChar w:fldCharType="end"/>
            </w:r>
            <w:r>
              <w:t>£9,400</w:t>
            </w:r>
          </w:p>
        </w:tc>
        <w:tc>
          <w:tcPr>
            <w:tcW w:w="0" w:type="auto"/>
            <w:vAlign w:val="center"/>
            <w:hideMark/>
          </w:tcPr>
          <w:p w:rsidR="00F0221C" w:rsidRDefault="00F0221C" w:rsidP="00D9401B">
            <w:pPr>
              <w:pStyle w:val="Table"/>
            </w:pPr>
            <w:r>
              <w:fldChar w:fldCharType="begin"/>
            </w:r>
            <w:r>
              <w:instrText xml:space="preserve"> XE "entry:N1C49F:Table" </w:instrText>
            </w:r>
            <w:r>
              <w:fldChar w:fldCharType="end"/>
            </w:r>
            <w:r>
              <w:fldChar w:fldCharType="begin"/>
            </w:r>
            <w:r>
              <w:instrText xml:space="preserve"> XE "para:N1C4A3:Table" </w:instrText>
            </w:r>
            <w:r>
              <w:fldChar w:fldCharType="end"/>
            </w:r>
            <w:r>
              <w:t>£8,710]</w:t>
            </w:r>
          </w:p>
        </w:tc>
      </w:tr>
    </w:tbl>
    <w:p w:rsidR="00F0221C" w:rsidRDefault="00F0221C" w:rsidP="00F0221C">
      <w:pPr>
        <w:pStyle w:val="TableE"/>
      </w:pPr>
      <w:r>
        <w:fldChar w:fldCharType="begin"/>
      </w:r>
      <w:r>
        <w:instrText xml:space="preserve"> XE "table:N1C2F8:TableE" </w:instrText>
      </w:r>
      <w:r>
        <w:fldChar w:fldCharType="end"/>
      </w:r>
      <w:r>
        <w:t>#TableE</w:t>
      </w:r>
    </w:p>
    <w:p w:rsidR="00F0221C" w:rsidRDefault="00F0221C" w:rsidP="00F0221C">
      <w:pPr>
        <w:pStyle w:val="FTE"/>
      </w:pPr>
      <w:r>
        <w:fldChar w:fldCharType="begin"/>
      </w:r>
      <w:r>
        <w:instrText xml:space="preserve"> XE "table:N1C2F8:FTE" </w:instrText>
      </w:r>
      <w:r>
        <w:fldChar w:fldCharType="end"/>
      </w:r>
      <w:r>
        <w:t>[FTE</w:t>
      </w:r>
    </w:p>
    <w:p w:rsidR="00F0221C" w:rsidRDefault="00F0221C" w:rsidP="00F0221C">
      <w:pPr>
        <w:pStyle w:val="CommentB"/>
      </w:pPr>
      <w:r>
        <w:fldChar w:fldCharType="begin"/>
      </w:r>
      <w:r>
        <w:instrText xml:space="preserve"> XE "comment:N1C4A5" </w:instrText>
      </w:r>
      <w:r>
        <w:fldChar w:fldCharType="end"/>
      </w:r>
      <w:r>
        <w:t>#CommentB</w:t>
      </w:r>
    </w:p>
    <w:p w:rsidR="00F0221C" w:rsidRDefault="00F0221C" w:rsidP="00F0221C">
      <w:pPr>
        <w:pStyle w:val="n-GenericHead"/>
      </w:pPr>
      <w:r>
        <w:rPr>
          <w:b/>
          <w:bCs/>
        </w:rPr>
        <w:fldChar w:fldCharType="begin"/>
      </w:r>
      <w:r>
        <w:rPr>
          <w:b/>
          <w:bCs/>
        </w:rPr>
        <w:instrText xml:space="preserve"> XE "generic-hd:N1C4A9:n-GenericHead" </w:instrText>
      </w:r>
      <w:r>
        <w:rPr>
          <w:b/>
          <w:bCs/>
        </w:rPr>
        <w:fldChar w:fldCharType="end"/>
      </w:r>
      <w:r>
        <w:rPr>
          <w:b/>
          <w:bCs/>
        </w:rPr>
        <w:t>Amendments—</w:t>
      </w:r>
      <w:r>
        <w:t xml:space="preserve"> </w:t>
      </w:r>
    </w:p>
    <w:p w:rsidR="00F0221C" w:rsidRDefault="00F0221C" w:rsidP="00F0221C">
      <w:pPr>
        <w:pStyle w:val="n-Para"/>
      </w:pPr>
      <w:r>
        <w:fldChar w:fldCharType="begin"/>
      </w:r>
      <w:r>
        <w:instrText xml:space="preserve"> XE "para:N1C4AC:n-Para" </w:instrText>
      </w:r>
      <w:r>
        <w:fldChar w:fldCharType="end"/>
      </w:r>
      <w:r>
        <w:t>Schedule substituted by the First-tier Tribunal (Gambling) Fees (Amendment) Order, SI 2010/633 art 2, Schedule with effect from 6 April 2010.</w:t>
      </w:r>
    </w:p>
    <w:p w:rsidR="00F0221C" w:rsidRDefault="00F0221C" w:rsidP="00F0221C">
      <w:pPr>
        <w:pStyle w:val="n-Para"/>
      </w:pPr>
      <w:r>
        <w:fldChar w:fldCharType="begin"/>
      </w:r>
      <w:r>
        <w:instrText xml:space="preserve"> XE "para:N1C4AE:n-Para" </w:instrText>
      </w:r>
      <w:r>
        <w:fldChar w:fldCharType="end"/>
      </w:r>
      <w:r>
        <w:t>Schedule 1 numbered as such by the Courts and Tribunals Fee Remissions Order, SI 2013/2302 art 9(1), (5) with effect from 7 October 2013.</w:t>
      </w:r>
    </w:p>
    <w:p w:rsidR="00F0221C" w:rsidRDefault="00F0221C" w:rsidP="00F0221C">
      <w:pPr>
        <w:pStyle w:val="CommentE"/>
      </w:pPr>
      <w:r>
        <w:fldChar w:fldCharType="begin"/>
      </w:r>
      <w:r>
        <w:instrText xml:space="preserve"> XE "comment:N1C4A5" </w:instrText>
      </w:r>
      <w:r>
        <w:fldChar w:fldCharType="end"/>
      </w:r>
      <w:r>
        <w:t>#CommentE</w:t>
      </w:r>
    </w:p>
    <w:p w:rsidR="00F0221C" w:rsidRDefault="00F0221C" w:rsidP="00F0221C">
      <w:pPr>
        <w:pStyle w:val="SC"/>
      </w:pPr>
      <w:r>
        <w:fldChar w:fldCharType="begin"/>
      </w:r>
      <w:r>
        <w:instrText xml:space="preserve"> XE "title:N1C4CA:[SC" </w:instrText>
      </w:r>
      <w:r>
        <w:fldChar w:fldCharType="end"/>
      </w:r>
      <w:r>
        <w:t>[Schedule 2</w:t>
      </w:r>
      <w:r>
        <w:br/>
        <w:t xml:space="preserve">Remissions and Part Remissions </w:t>
      </w:r>
    </w:p>
    <w:p w:rsidR="00F0221C" w:rsidRDefault="00F0221C" w:rsidP="00F0221C">
      <w:pPr>
        <w:pStyle w:val="PNAM"/>
      </w:pPr>
      <w:r>
        <w:fldChar w:fldCharType="begin"/>
      </w:r>
      <w:r>
        <w:instrText xml:space="preserve"> XE "provision:N1C4CD:[PNAM" </w:instrText>
      </w:r>
      <w:r>
        <w:fldChar w:fldCharType="end"/>
      </w:r>
      <w:r>
        <w:t>1 Interpretation</w:t>
      </w:r>
    </w:p>
    <w:p w:rsidR="00F0221C" w:rsidRDefault="00F0221C" w:rsidP="00F0221C">
      <w:pPr>
        <w:pStyle w:val="P1"/>
      </w:pPr>
      <w:r>
        <w:fldChar w:fldCharType="begin"/>
      </w:r>
      <w:r>
        <w:instrText xml:space="preserve"> XE "para1:N1C4D5:[P1" </w:instrText>
      </w:r>
      <w:r>
        <w:fldChar w:fldCharType="end"/>
      </w:r>
      <w:r>
        <w:t>(1)</w:t>
      </w:r>
      <w:r>
        <w:tab/>
        <w:t>In this Schedule—</w:t>
      </w:r>
    </w:p>
    <w:p w:rsidR="00F0221C" w:rsidRDefault="00F0221C" w:rsidP="00F0221C">
      <w:pPr>
        <w:pStyle w:val="P2"/>
      </w:pPr>
      <w:r>
        <w:fldChar w:fldCharType="begin"/>
      </w:r>
      <w:r>
        <w:instrText xml:space="preserve"> XE "para2:N1C4DB:[P2" </w:instrText>
      </w:r>
      <w:r>
        <w:fldChar w:fldCharType="end"/>
      </w:r>
      <w:r>
        <w:t>“child” means a person—</w:t>
      </w:r>
    </w:p>
    <w:p w:rsidR="00F0221C" w:rsidRDefault="00F0221C" w:rsidP="00F0221C">
      <w:pPr>
        <w:pStyle w:val="P3"/>
      </w:pPr>
      <w:r>
        <w:fldChar w:fldCharType="begin"/>
      </w:r>
      <w:r>
        <w:instrText xml:space="preserve"> XE "para3:N1C4DF:[P3" </w:instrText>
      </w:r>
      <w:r>
        <w:fldChar w:fldCharType="end"/>
      </w:r>
      <w:r>
        <w:t>(a)</w:t>
      </w:r>
      <w:r>
        <w:tab/>
        <w:t>whose main residence is with a party and who is aged—</w:t>
      </w:r>
    </w:p>
    <w:p w:rsidR="00F0221C" w:rsidRDefault="00F0221C" w:rsidP="00F0221C">
      <w:pPr>
        <w:pStyle w:val="P4"/>
      </w:pPr>
      <w:r>
        <w:fldChar w:fldCharType="begin"/>
      </w:r>
      <w:r>
        <w:instrText xml:space="preserve"> XE "para4:N1C4E5:[P4" </w:instrText>
      </w:r>
      <w:r>
        <w:fldChar w:fldCharType="end"/>
      </w:r>
      <w:r>
        <w:t>(i)</w:t>
      </w:r>
      <w:r>
        <w:tab/>
        <w:t>under 16 years; or</w:t>
      </w:r>
    </w:p>
    <w:p w:rsidR="00F0221C" w:rsidRDefault="00F0221C" w:rsidP="00F0221C">
      <w:pPr>
        <w:pStyle w:val="P4"/>
      </w:pPr>
      <w:r>
        <w:fldChar w:fldCharType="begin"/>
      </w:r>
      <w:r>
        <w:instrText xml:space="preserve"> XE "para4:N1C4EB:[P4" </w:instrText>
      </w:r>
      <w:r>
        <w:fldChar w:fldCharType="end"/>
      </w:r>
      <w:r>
        <w:t>(ii)</w:t>
      </w:r>
      <w:r>
        <w:tab/>
        <w:t>16 to 19 years; and is—</w:t>
      </w:r>
    </w:p>
    <w:p w:rsidR="00F0221C" w:rsidRDefault="00F0221C" w:rsidP="00F0221C">
      <w:pPr>
        <w:pStyle w:val="P5"/>
      </w:pPr>
      <w:r>
        <w:fldChar w:fldCharType="begin"/>
      </w:r>
      <w:r>
        <w:instrText xml:space="preserve"> XE "para5:N1C4F1:[P5" </w:instrText>
      </w:r>
      <w:r>
        <w:fldChar w:fldCharType="end"/>
      </w:r>
      <w:r>
        <w:t>(aa)</w:t>
      </w:r>
      <w:r>
        <w:tab/>
        <w:t>not married or in a civil partnership; and</w:t>
      </w:r>
    </w:p>
    <w:p w:rsidR="00F0221C" w:rsidRDefault="00F0221C" w:rsidP="00F0221C">
      <w:pPr>
        <w:pStyle w:val="P5"/>
      </w:pPr>
      <w:r>
        <w:fldChar w:fldCharType="begin"/>
      </w:r>
      <w:r>
        <w:instrText xml:space="preserve"> XE "para5:N1C4F7:[P5" </w:instrText>
      </w:r>
      <w:r>
        <w:fldChar w:fldCharType="end"/>
      </w:r>
      <w:r>
        <w:t>(bb)</w:t>
      </w:r>
      <w:r>
        <w:tab/>
        <w:t>enrolled or accepted in full-time education that is not advanced education, or approved training; or</w:t>
      </w:r>
    </w:p>
    <w:p w:rsidR="00F0221C" w:rsidRDefault="00F0221C" w:rsidP="00F0221C">
      <w:pPr>
        <w:pStyle w:val="P3"/>
      </w:pPr>
      <w:r>
        <w:fldChar w:fldCharType="begin"/>
      </w:r>
      <w:r>
        <w:instrText xml:space="preserve"> XE "para3:N1C4FD:[P3" </w:instrText>
      </w:r>
      <w:r>
        <w:fldChar w:fldCharType="end"/>
      </w:r>
      <w:r>
        <w:t>(b)</w:t>
      </w:r>
      <w:r>
        <w:tab/>
        <w:t>in respect of whom a party or their partner pays child support maintenance or periodic payments in accordance with a maintenance agreement,</w:t>
      </w:r>
    </w:p>
    <w:p w:rsidR="00F0221C" w:rsidRDefault="00F0221C" w:rsidP="00F0221C">
      <w:pPr>
        <w:pStyle w:val="C2"/>
      </w:pPr>
      <w:r>
        <w:fldChar w:fldCharType="begin"/>
      </w:r>
      <w:r>
        <w:instrText xml:space="preserve"> XE "para-continued2:N1C503:[C2" </w:instrText>
      </w:r>
      <w:r>
        <w:fldChar w:fldCharType="end"/>
      </w:r>
      <w:r>
        <w:t>and “full-time education”, “advanced education” and “approved training” have the meaning given by the Child Benefit (General) Regulations 2006;</w:t>
      </w:r>
    </w:p>
    <w:p w:rsidR="00F0221C" w:rsidRDefault="00F0221C" w:rsidP="00F0221C">
      <w:pPr>
        <w:pStyle w:val="P2"/>
      </w:pPr>
      <w:r>
        <w:lastRenderedPageBreak/>
        <w:fldChar w:fldCharType="begin"/>
      </w:r>
      <w:r>
        <w:instrText xml:space="preserve"> XE "para2:N1C507:[P2" </w:instrText>
      </w:r>
      <w:r>
        <w:fldChar w:fldCharType="end"/>
      </w:r>
      <w:r>
        <w:t>“child support maintenance” has the meaning given in section 3(6) of the Child Support Act 1991;</w:t>
      </w:r>
    </w:p>
    <w:p w:rsidR="00F0221C" w:rsidRDefault="00F0221C" w:rsidP="00F0221C">
      <w:pPr>
        <w:pStyle w:val="P2"/>
      </w:pPr>
      <w:r>
        <w:fldChar w:fldCharType="begin"/>
      </w:r>
      <w:r>
        <w:instrText xml:space="preserve"> XE "para2:N1C50B:[P2" </w:instrText>
      </w:r>
      <w:r>
        <w:fldChar w:fldCharType="end"/>
      </w:r>
      <w:r>
        <w:t>“couple” has the meaning given in section 3(5A) of the Tax Credits Act 2002;</w:t>
      </w:r>
    </w:p>
    <w:p w:rsidR="00F0221C" w:rsidRDefault="00F0221C" w:rsidP="00F0221C">
      <w:pPr>
        <w:pStyle w:val="P2"/>
      </w:pPr>
      <w:r>
        <w:fldChar w:fldCharType="begin"/>
      </w:r>
      <w:r>
        <w:instrText xml:space="preserve"> XE "para2:N1C50F:[P2" </w:instrText>
      </w:r>
      <w:r>
        <w:fldChar w:fldCharType="end"/>
      </w:r>
      <w:r>
        <w:t>“disposable capital” has the meaning given in paragraph 5;</w:t>
      </w:r>
    </w:p>
    <w:p w:rsidR="00F0221C" w:rsidRDefault="00F0221C" w:rsidP="00F0221C">
      <w:pPr>
        <w:pStyle w:val="P2"/>
      </w:pPr>
      <w:r>
        <w:fldChar w:fldCharType="begin"/>
      </w:r>
      <w:r>
        <w:instrText xml:space="preserve"> XE "para2:N1C513:[P2" </w:instrText>
      </w:r>
      <w:r>
        <w:fldChar w:fldCharType="end"/>
      </w:r>
      <w:r>
        <w:t>[“excluded benefits” means any of the following—</w:t>
      </w:r>
    </w:p>
    <w:p w:rsidR="00F0221C" w:rsidRDefault="00F0221C" w:rsidP="00F0221C">
      <w:pPr>
        <w:pStyle w:val="P3"/>
      </w:pPr>
      <w:r>
        <w:fldChar w:fldCharType="begin"/>
      </w:r>
      <w:r>
        <w:instrText xml:space="preserve"> XE "para3:N1C517:[P3" </w:instrText>
      </w:r>
      <w:r>
        <w:fldChar w:fldCharType="end"/>
      </w:r>
      <w:r>
        <w:t>(a)</w:t>
      </w:r>
      <w:r>
        <w:tab/>
        <w:t>any of the following benefits payable under the Social Security Contributions and Benefits Act 1992 or the corresponding provisions of the Social Security Contributions and Benefits (Northern Ireland) Act 1992—</w:t>
      </w:r>
    </w:p>
    <w:p w:rsidR="00F0221C" w:rsidRDefault="00F0221C" w:rsidP="00F0221C">
      <w:pPr>
        <w:pStyle w:val="P4"/>
      </w:pPr>
      <w:r>
        <w:fldChar w:fldCharType="begin"/>
      </w:r>
      <w:r>
        <w:instrText xml:space="preserve"> XE "para4:N1C51D:[P4" </w:instrText>
      </w:r>
      <w:r>
        <w:fldChar w:fldCharType="end"/>
      </w:r>
      <w:r>
        <w:t>(i)</w:t>
      </w:r>
      <w:r>
        <w:tab/>
        <w:t>attendance allowance under section 64;</w:t>
      </w:r>
    </w:p>
    <w:p w:rsidR="00F0221C" w:rsidRDefault="00F0221C" w:rsidP="00F0221C">
      <w:pPr>
        <w:pStyle w:val="P4"/>
      </w:pPr>
      <w:r>
        <w:fldChar w:fldCharType="begin"/>
      </w:r>
      <w:r>
        <w:instrText xml:space="preserve"> XE "para4:N1C523:[P4" </w:instrText>
      </w:r>
      <w:r>
        <w:fldChar w:fldCharType="end"/>
      </w:r>
      <w:r>
        <w:t>(ii)</w:t>
      </w:r>
      <w:r>
        <w:tab/>
        <w:t>severe disablement allowance;</w:t>
      </w:r>
    </w:p>
    <w:p w:rsidR="00F0221C" w:rsidRDefault="00F0221C" w:rsidP="00F0221C">
      <w:pPr>
        <w:pStyle w:val="P4"/>
      </w:pPr>
      <w:r>
        <w:fldChar w:fldCharType="begin"/>
      </w:r>
      <w:r>
        <w:instrText xml:space="preserve"> XE "para4:N1C529:[P4" </w:instrText>
      </w:r>
      <w:r>
        <w:fldChar w:fldCharType="end"/>
      </w:r>
      <w:r>
        <w:t>(iii)</w:t>
      </w:r>
      <w:r>
        <w:tab/>
        <w:t>carer’s allowance;</w:t>
      </w:r>
    </w:p>
    <w:p w:rsidR="00F0221C" w:rsidRDefault="00F0221C" w:rsidP="00F0221C">
      <w:pPr>
        <w:pStyle w:val="P4"/>
      </w:pPr>
      <w:r>
        <w:fldChar w:fldCharType="begin"/>
      </w:r>
      <w:r>
        <w:instrText xml:space="preserve"> XE "para4:N1C52F:[P4" </w:instrText>
      </w:r>
      <w:r>
        <w:fldChar w:fldCharType="end"/>
      </w:r>
      <w:r>
        <w:t>(iv)</w:t>
      </w:r>
      <w:r>
        <w:tab/>
        <w:t>disability living allowance;</w:t>
      </w:r>
    </w:p>
    <w:p w:rsidR="00F0221C" w:rsidRDefault="00F0221C" w:rsidP="00F0221C">
      <w:pPr>
        <w:pStyle w:val="P4"/>
      </w:pPr>
      <w:r>
        <w:fldChar w:fldCharType="begin"/>
      </w:r>
      <w:r>
        <w:instrText xml:space="preserve"> XE "para4:N1C535:[P4" </w:instrText>
      </w:r>
      <w:r>
        <w:fldChar w:fldCharType="end"/>
      </w:r>
      <w:r>
        <w:t>(v)</w:t>
      </w:r>
      <w:r>
        <w:tab/>
        <w:t>constant attendance allowance under section 104 as an increase to a disablement pension;</w:t>
      </w:r>
    </w:p>
    <w:p w:rsidR="00F0221C" w:rsidRDefault="00F0221C" w:rsidP="00F0221C">
      <w:pPr>
        <w:pStyle w:val="P4"/>
      </w:pPr>
      <w:r>
        <w:fldChar w:fldCharType="begin"/>
      </w:r>
      <w:r>
        <w:instrText xml:space="preserve"> XE "para4:N1C53B:[P4" </w:instrText>
      </w:r>
      <w:r>
        <w:fldChar w:fldCharType="end"/>
      </w:r>
      <w:r>
        <w:t>(vi)</w:t>
      </w:r>
      <w:r>
        <w:tab/>
        <w:t>any payment made out of the social fund;</w:t>
      </w:r>
    </w:p>
    <w:p w:rsidR="00F0221C" w:rsidRDefault="00F0221C" w:rsidP="00F0221C">
      <w:pPr>
        <w:pStyle w:val="P4"/>
      </w:pPr>
      <w:r>
        <w:fldChar w:fldCharType="begin"/>
      </w:r>
      <w:r>
        <w:instrText xml:space="preserve"> XE "para4:N1C541:[P4" </w:instrText>
      </w:r>
      <w:r>
        <w:fldChar w:fldCharType="end"/>
      </w:r>
      <w:r>
        <w:t>(vii)</w:t>
      </w:r>
      <w:r>
        <w:tab/>
        <w:t>housing benefit;</w:t>
      </w:r>
    </w:p>
    <w:p w:rsidR="00F0221C" w:rsidRDefault="00F0221C" w:rsidP="00F0221C">
      <w:pPr>
        <w:pStyle w:val="P4"/>
      </w:pPr>
      <w:r>
        <w:fldChar w:fldCharType="begin"/>
      </w:r>
      <w:r>
        <w:instrText xml:space="preserve"> XE "para4:N1C547:[P4" </w:instrText>
      </w:r>
      <w:r>
        <w:fldChar w:fldCharType="end"/>
      </w:r>
      <w:r>
        <w:t>(viii)</w:t>
      </w:r>
      <w:r>
        <w:tab/>
        <w:t>widowed parents allowance;</w:t>
      </w:r>
    </w:p>
    <w:p w:rsidR="00F0221C" w:rsidRDefault="00F0221C" w:rsidP="00F0221C">
      <w:pPr>
        <w:pStyle w:val="P3"/>
      </w:pPr>
      <w:r>
        <w:fldChar w:fldCharType="begin"/>
      </w:r>
      <w:r>
        <w:instrText xml:space="preserve"> XE "para3:N1C54D:[P3" </w:instrText>
      </w:r>
      <w:r>
        <w:fldChar w:fldCharType="end"/>
      </w:r>
      <w:r>
        <w:t>(b)</w:t>
      </w:r>
      <w:r>
        <w:tab/>
        <w:t>any of the following benefit payable under the Tax Credits Act 2002—</w:t>
      </w:r>
    </w:p>
    <w:p w:rsidR="00F0221C" w:rsidRDefault="00F0221C" w:rsidP="00F0221C">
      <w:pPr>
        <w:pStyle w:val="P4"/>
      </w:pPr>
      <w:r>
        <w:fldChar w:fldCharType="begin"/>
      </w:r>
      <w:r>
        <w:instrText xml:space="preserve"> XE "para4:N1C553:[P4" </w:instrText>
      </w:r>
      <w:r>
        <w:fldChar w:fldCharType="end"/>
      </w:r>
      <w:r>
        <w:t>(i)</w:t>
      </w:r>
      <w:r>
        <w:tab/>
        <w:t>any disabled child element or severely disabled child element of the child tax credit;</w:t>
      </w:r>
    </w:p>
    <w:p w:rsidR="00F0221C" w:rsidRDefault="00F0221C" w:rsidP="00F0221C">
      <w:pPr>
        <w:pStyle w:val="P4"/>
      </w:pPr>
      <w:r>
        <w:fldChar w:fldCharType="begin"/>
      </w:r>
      <w:r>
        <w:instrText xml:space="preserve"> XE "para4:N1C559:[P4" </w:instrText>
      </w:r>
      <w:r>
        <w:fldChar w:fldCharType="end"/>
      </w:r>
      <w:r>
        <w:t>(ii)</w:t>
      </w:r>
      <w:r>
        <w:tab/>
        <w:t>any childcare element of the working tax credit;</w:t>
      </w:r>
    </w:p>
    <w:p w:rsidR="00F0221C" w:rsidRDefault="00F0221C" w:rsidP="00F0221C">
      <w:pPr>
        <w:pStyle w:val="P3"/>
      </w:pPr>
      <w:r>
        <w:fldChar w:fldCharType="begin"/>
      </w:r>
      <w:r>
        <w:instrText xml:space="preserve"> XE "para3:N1C55F:[P3" </w:instrText>
      </w:r>
      <w:r>
        <w:fldChar w:fldCharType="end"/>
      </w:r>
      <w:r>
        <w:t>(c)</w:t>
      </w:r>
      <w:r>
        <w:tab/>
        <w:t>any direct payment made under the Community Care, Services for Carers and Children’s Services (Direct Payments) (England) Regulations 2009, the Community Care, Services for Carers and Children’s Services (Direct Payments) (Wales) Regulations 2011, the Carers and Direct Payments Act (Northern Ireland) 2002, or section 12B(1) of the Social Work (Scotland) Act 1968;</w:t>
      </w:r>
    </w:p>
    <w:p w:rsidR="00F0221C" w:rsidRDefault="00F0221C" w:rsidP="00F0221C">
      <w:pPr>
        <w:pStyle w:val="P3"/>
      </w:pPr>
      <w:r>
        <w:fldChar w:fldCharType="begin"/>
      </w:r>
      <w:r>
        <w:instrText xml:space="preserve"> XE "para3:N1C565:[P3" </w:instrText>
      </w:r>
      <w:r>
        <w:fldChar w:fldCharType="end"/>
      </w:r>
      <w:r>
        <w:t>(d)</w:t>
      </w:r>
      <w:r>
        <w:tab/>
        <w:t>a back to work bonus payable under section 26 of the Jobseekers Act 1995, or article 28 of the Jobseekers (Northern Ireland) Order 1995;</w:t>
      </w:r>
    </w:p>
    <w:p w:rsidR="00F0221C" w:rsidRDefault="00F0221C" w:rsidP="00F0221C">
      <w:pPr>
        <w:pStyle w:val="P3"/>
      </w:pPr>
      <w:r>
        <w:fldChar w:fldCharType="begin"/>
      </w:r>
      <w:r>
        <w:instrText xml:space="preserve"> XE "para3:N1C56B:[P3" </w:instrText>
      </w:r>
      <w:r>
        <w:fldChar w:fldCharType="end"/>
      </w:r>
      <w:r>
        <w:t>(e)</w:t>
      </w:r>
      <w:r>
        <w:tab/>
        <w:t>any exceptionally severe disablement allowance paid under the Personal Injuries (Civilians) Scheme 1983;</w:t>
      </w:r>
    </w:p>
    <w:p w:rsidR="00F0221C" w:rsidRDefault="00F0221C" w:rsidP="00F0221C">
      <w:pPr>
        <w:pStyle w:val="P3"/>
      </w:pPr>
      <w:r>
        <w:fldChar w:fldCharType="begin"/>
      </w:r>
      <w:r>
        <w:instrText xml:space="preserve"> XE "para3:N1C571:[P3" </w:instrText>
      </w:r>
      <w:r>
        <w:fldChar w:fldCharType="end"/>
      </w:r>
      <w:r>
        <w:t>(f)</w:t>
      </w:r>
      <w:r>
        <w:tab/>
        <w:t>any payments from the Industrial Injuries Disablement Benefit;</w:t>
      </w:r>
    </w:p>
    <w:p w:rsidR="00F0221C" w:rsidRDefault="00F0221C" w:rsidP="00F0221C">
      <w:pPr>
        <w:pStyle w:val="P3"/>
      </w:pPr>
      <w:r>
        <w:fldChar w:fldCharType="begin"/>
      </w:r>
      <w:r>
        <w:instrText xml:space="preserve"> XE "para3:N1C577:[P3" </w:instrText>
      </w:r>
      <w:r>
        <w:fldChar w:fldCharType="end"/>
      </w:r>
      <w:r>
        <w:t>(g)</w:t>
      </w:r>
      <w:r>
        <w:tab/>
        <w:t>any pension paid under the Naval, Military and Air Forces etc (Disablement and Death) Service Pension Order 2006;</w:t>
      </w:r>
    </w:p>
    <w:p w:rsidR="00F0221C" w:rsidRDefault="00F0221C" w:rsidP="00F0221C">
      <w:pPr>
        <w:pStyle w:val="P3"/>
      </w:pPr>
      <w:r>
        <w:fldChar w:fldCharType="begin"/>
      </w:r>
      <w:r>
        <w:instrText xml:space="preserve"> XE "para3:N1C57D:[P3" </w:instrText>
      </w:r>
      <w:r>
        <w:fldChar w:fldCharType="end"/>
      </w:r>
      <w:r>
        <w:t>(h)</w:t>
      </w:r>
      <w:r>
        <w:tab/>
        <w:t>any payment made from the Independent Living Funds;</w:t>
      </w:r>
    </w:p>
    <w:p w:rsidR="00F0221C" w:rsidRDefault="00F0221C" w:rsidP="00F0221C">
      <w:pPr>
        <w:pStyle w:val="P3"/>
      </w:pPr>
      <w:r>
        <w:fldChar w:fldCharType="begin"/>
      </w:r>
      <w:r>
        <w:instrText xml:space="preserve"> XE "para3:N1C583:[P3" </w:instrText>
      </w:r>
      <w:r>
        <w:fldChar w:fldCharType="end"/>
      </w:r>
      <w:r>
        <w:t>(i)</w:t>
      </w:r>
      <w:r>
        <w:tab/>
        <w:t>any payment made from the Bereavement Allowance;</w:t>
      </w:r>
    </w:p>
    <w:p w:rsidR="00F0221C" w:rsidRDefault="00F0221C" w:rsidP="00F0221C">
      <w:pPr>
        <w:pStyle w:val="P3"/>
      </w:pPr>
      <w:r>
        <w:fldChar w:fldCharType="begin"/>
      </w:r>
      <w:r>
        <w:instrText xml:space="preserve"> XE "para3:N1C589:[P3" </w:instrText>
      </w:r>
      <w:r>
        <w:fldChar w:fldCharType="end"/>
      </w:r>
      <w:r>
        <w:t>(j)</w:t>
      </w:r>
      <w:r>
        <w:tab/>
        <w:t>any financial support paid under an agreement for the care of a foster child;</w:t>
      </w:r>
    </w:p>
    <w:p w:rsidR="00F0221C" w:rsidRDefault="00F0221C" w:rsidP="00F0221C">
      <w:pPr>
        <w:pStyle w:val="P3"/>
      </w:pPr>
      <w:r>
        <w:lastRenderedPageBreak/>
        <w:fldChar w:fldCharType="begin"/>
      </w:r>
      <w:r>
        <w:instrText xml:space="preserve"> XE "para3:N1C58F:[P3" </w:instrText>
      </w:r>
      <w:r>
        <w:fldChar w:fldCharType="end"/>
      </w:r>
      <w:r>
        <w:t>(k)</w:t>
      </w:r>
      <w:r>
        <w:tab/>
        <w:t>any housing credit element of pension credit;</w:t>
      </w:r>
    </w:p>
    <w:p w:rsidR="00F0221C" w:rsidRDefault="00F0221C" w:rsidP="00F0221C">
      <w:pPr>
        <w:pStyle w:val="P3"/>
      </w:pPr>
      <w:r>
        <w:fldChar w:fldCharType="begin"/>
      </w:r>
      <w:r>
        <w:instrText xml:space="preserve"> XE "para3:N1C595:[P3" </w:instrText>
      </w:r>
      <w:r>
        <w:fldChar w:fldCharType="end"/>
      </w:r>
      <w:r>
        <w:t>(l)</w:t>
      </w:r>
      <w:r>
        <w:tab/>
        <w:t>any armed forces independence payment;</w:t>
      </w:r>
    </w:p>
    <w:p w:rsidR="00F0221C" w:rsidRDefault="00F0221C" w:rsidP="00F0221C">
      <w:pPr>
        <w:pStyle w:val="P3"/>
      </w:pPr>
      <w:r>
        <w:fldChar w:fldCharType="begin"/>
      </w:r>
      <w:r>
        <w:instrText xml:space="preserve"> XE "para3:N1C59B:[P3" </w:instrText>
      </w:r>
      <w:r>
        <w:fldChar w:fldCharType="end"/>
      </w:r>
      <w:r>
        <w:t>(m)</w:t>
      </w:r>
      <w:r>
        <w:tab/>
        <w:t>any personal independence payment payable under the Welfare Reform Act 2012;</w:t>
      </w:r>
    </w:p>
    <w:p w:rsidR="00F0221C" w:rsidRDefault="00F0221C" w:rsidP="00F0221C">
      <w:pPr>
        <w:pStyle w:val="P3"/>
      </w:pPr>
      <w:r>
        <w:fldChar w:fldCharType="begin"/>
      </w:r>
      <w:r>
        <w:instrText xml:space="preserve"> XE "para3:N1C5A1:[P3" </w:instrText>
      </w:r>
      <w:r>
        <w:fldChar w:fldCharType="end"/>
      </w:r>
      <w:r>
        <w:t>(n)</w:t>
      </w:r>
      <w:r>
        <w:tab/>
        <w:t>any payment on account of benefit as defined in the Social Security (Payments on Account of Benefit) Regulations 2013;</w:t>
      </w:r>
    </w:p>
    <w:p w:rsidR="00F0221C" w:rsidRDefault="00F0221C" w:rsidP="00F0221C">
      <w:pPr>
        <w:pStyle w:val="P3"/>
      </w:pPr>
      <w:r>
        <w:fldChar w:fldCharType="begin"/>
      </w:r>
      <w:r>
        <w:instrText xml:space="preserve"> XE "para3:N1C5A7:[P3" </w:instrText>
      </w:r>
      <w:r>
        <w:fldChar w:fldCharType="end"/>
      </w:r>
      <w:r>
        <w:t>(o)</w:t>
      </w:r>
      <w:r>
        <w:tab/>
        <w:t>any of the following amounts, as defined by the Universal Credit Regulations 2013, that make up an award of universal credit—</w:t>
      </w:r>
    </w:p>
    <w:p w:rsidR="00F0221C" w:rsidRDefault="00F0221C" w:rsidP="00F0221C">
      <w:pPr>
        <w:pStyle w:val="P4"/>
      </w:pPr>
      <w:r>
        <w:fldChar w:fldCharType="begin"/>
      </w:r>
      <w:r>
        <w:instrText xml:space="preserve"> XE "para4:N1C5AD:[P4" </w:instrText>
      </w:r>
      <w:r>
        <w:fldChar w:fldCharType="end"/>
      </w:r>
      <w:r>
        <w:t>(i)</w:t>
      </w:r>
      <w:r>
        <w:tab/>
        <w:t>an additional amount to the child element in respect of a disabled child;</w:t>
      </w:r>
    </w:p>
    <w:p w:rsidR="00F0221C" w:rsidRDefault="00F0221C" w:rsidP="00F0221C">
      <w:pPr>
        <w:pStyle w:val="P4"/>
      </w:pPr>
      <w:r>
        <w:fldChar w:fldCharType="begin"/>
      </w:r>
      <w:r>
        <w:instrText xml:space="preserve"> XE "para4:N1C5B3:[P4" </w:instrText>
      </w:r>
      <w:r>
        <w:fldChar w:fldCharType="end"/>
      </w:r>
      <w:r>
        <w:t>(ii)</w:t>
      </w:r>
      <w:r>
        <w:tab/>
        <w:t>a housing costs element;</w:t>
      </w:r>
    </w:p>
    <w:p w:rsidR="00F0221C" w:rsidRDefault="00F0221C" w:rsidP="00F0221C">
      <w:pPr>
        <w:pStyle w:val="P4"/>
      </w:pPr>
      <w:r>
        <w:fldChar w:fldCharType="begin"/>
      </w:r>
      <w:r>
        <w:instrText xml:space="preserve"> XE "para4:N1C5B9:[P4" </w:instrText>
      </w:r>
      <w:r>
        <w:fldChar w:fldCharType="end"/>
      </w:r>
      <w:r>
        <w:t>(iii)</w:t>
      </w:r>
      <w:r>
        <w:tab/>
        <w:t>a childcare costs element;</w:t>
      </w:r>
    </w:p>
    <w:p w:rsidR="00F0221C" w:rsidRDefault="00F0221C" w:rsidP="00F0221C">
      <w:pPr>
        <w:pStyle w:val="P4"/>
      </w:pPr>
      <w:r>
        <w:fldChar w:fldCharType="begin"/>
      </w:r>
      <w:r>
        <w:instrText xml:space="preserve"> XE "para4:N1C5BF:[P4" </w:instrText>
      </w:r>
      <w:r>
        <w:fldChar w:fldCharType="end"/>
      </w:r>
      <w:r>
        <w:t>(iv)</w:t>
      </w:r>
      <w:r>
        <w:tab/>
        <w:t>a carer element;</w:t>
      </w:r>
    </w:p>
    <w:p w:rsidR="00F0221C" w:rsidRDefault="00F0221C" w:rsidP="00F0221C">
      <w:pPr>
        <w:pStyle w:val="P4"/>
      </w:pPr>
      <w:r>
        <w:fldChar w:fldCharType="begin"/>
      </w:r>
      <w:r>
        <w:instrText xml:space="preserve"> XE "para4:N1C5C5:[P4" </w:instrText>
      </w:r>
      <w:r>
        <w:fldChar w:fldCharType="end"/>
      </w:r>
      <w:r>
        <w:t>(v)</w:t>
      </w:r>
      <w:r>
        <w:tab/>
        <w:t>a limited capability for work or limited capacity for work and work-related activity element.]</w:t>
      </w:r>
      <w:r>
        <w:rPr>
          <w:rStyle w:val="endnoteid"/>
        </w:rPr>
        <w:t>1</w:t>
      </w:r>
      <w:r>
        <w:t xml:space="preserve"> </w:t>
      </w:r>
    </w:p>
    <w:p w:rsidR="00F0221C" w:rsidRDefault="00F0221C" w:rsidP="00F0221C">
      <w:pPr>
        <w:pStyle w:val="P2"/>
      </w:pPr>
      <w:r>
        <w:fldChar w:fldCharType="begin"/>
      </w:r>
      <w:r>
        <w:instrText xml:space="preserve"> XE "para2:N1C5CD:[P2" </w:instrText>
      </w:r>
      <w:r>
        <w:fldChar w:fldCharType="end"/>
      </w:r>
      <w:r>
        <w:t>“family help (higher)” has the meaning given in paragraph 15(3) of the Civil Legal Aid (Merits Criteria) Regulations 2013;</w:t>
      </w:r>
    </w:p>
    <w:p w:rsidR="00F0221C" w:rsidRDefault="00F0221C" w:rsidP="00F0221C">
      <w:pPr>
        <w:pStyle w:val="P2"/>
      </w:pPr>
      <w:r>
        <w:fldChar w:fldCharType="begin"/>
      </w:r>
      <w:r>
        <w:instrText xml:space="preserve"> XE "para2:N1C5D1:[P2" </w:instrText>
      </w:r>
      <w:r>
        <w:fldChar w:fldCharType="end"/>
      </w:r>
      <w:r>
        <w:t>“family help (lower)” has the meaning given in paragraph 15(2) of the Civil Legal Aid (Merits Criteria) Regulations 2013;</w:t>
      </w:r>
    </w:p>
    <w:p w:rsidR="00F0221C" w:rsidRDefault="00F0221C" w:rsidP="00F0221C">
      <w:pPr>
        <w:pStyle w:val="P2"/>
      </w:pPr>
      <w:r>
        <w:fldChar w:fldCharType="begin"/>
      </w:r>
      <w:r>
        <w:instrText xml:space="preserve"> XE "para2:N1C5D5:[P2" </w:instrText>
      </w:r>
      <w:r>
        <w:fldChar w:fldCharType="end"/>
      </w:r>
      <w:r>
        <w:t>“gross monthly income” has the meaning given in paragraph 13;</w:t>
      </w:r>
    </w:p>
    <w:p w:rsidR="00F0221C" w:rsidRDefault="00F0221C" w:rsidP="00F0221C">
      <w:pPr>
        <w:pStyle w:val="P2"/>
      </w:pPr>
      <w:r>
        <w:fldChar w:fldCharType="begin"/>
      </w:r>
      <w:r>
        <w:instrText xml:space="preserve"> XE "para2:N1C5D9:[P2" </w:instrText>
      </w:r>
      <w:r>
        <w:fldChar w:fldCharType="end"/>
      </w:r>
      <w:r>
        <w:t>“Independent Living Funds” means the funds listed at regulation 20(2)(b) of the Criminal Legal Aid (Financial Resources) Regulations 2013;</w:t>
      </w:r>
    </w:p>
    <w:p w:rsidR="00F0221C" w:rsidRDefault="00F0221C" w:rsidP="00F0221C">
      <w:pPr>
        <w:pStyle w:val="P2"/>
      </w:pPr>
      <w:r>
        <w:fldChar w:fldCharType="begin"/>
      </w:r>
      <w:r>
        <w:instrText xml:space="preserve"> XE "para2:N1C5DD:[P2" </w:instrText>
      </w:r>
      <w:r>
        <w:fldChar w:fldCharType="end"/>
      </w:r>
      <w:r>
        <w:t>“legal representation” has the meaning given in paragraph 18(2) of the Civil Legal Aid (Merits Criteria) Regulations 2013;</w:t>
      </w:r>
    </w:p>
    <w:p w:rsidR="00F0221C" w:rsidRDefault="00F0221C" w:rsidP="00F0221C">
      <w:pPr>
        <w:pStyle w:val="P2"/>
      </w:pPr>
      <w:r>
        <w:fldChar w:fldCharType="begin"/>
      </w:r>
      <w:r>
        <w:instrText xml:space="preserve"> XE "para2:N1C5E1:[P2" </w:instrText>
      </w:r>
      <w:r>
        <w:fldChar w:fldCharType="end"/>
      </w:r>
      <w:r>
        <w:t>“maintenance agreement” has the meaning given in subsection 9(1) of the Child Support Act 1991;</w:t>
      </w:r>
    </w:p>
    <w:p w:rsidR="00F0221C" w:rsidRDefault="00F0221C" w:rsidP="00F0221C">
      <w:pPr>
        <w:pStyle w:val="P2"/>
      </w:pPr>
      <w:r>
        <w:fldChar w:fldCharType="begin"/>
      </w:r>
      <w:r>
        <w:instrText xml:space="preserve"> XE "para2:N1C5E5:[P2" </w:instrText>
      </w:r>
      <w:r>
        <w:fldChar w:fldCharType="end"/>
      </w:r>
      <w:r>
        <w:t>“partner” means a person with whom the party lives as a couple and includes a person with whom the party is not currently living but from whom the party is not living separate and apart;</w:t>
      </w:r>
    </w:p>
    <w:p w:rsidR="00F0221C" w:rsidRDefault="00F0221C" w:rsidP="00F0221C">
      <w:pPr>
        <w:pStyle w:val="P2"/>
      </w:pPr>
      <w:r>
        <w:fldChar w:fldCharType="begin"/>
      </w:r>
      <w:r>
        <w:instrText xml:space="preserve"> XE "para2:N1C5E9:[P2" </w:instrText>
      </w:r>
      <w:r>
        <w:fldChar w:fldCharType="end"/>
      </w:r>
      <w:r>
        <w:t>“party” means the individual who would, but for this Schedule, be liable to pay a fee under this Order;</w:t>
      </w:r>
    </w:p>
    <w:p w:rsidR="00F0221C" w:rsidRDefault="00F0221C" w:rsidP="00F0221C">
      <w:pPr>
        <w:pStyle w:val="P2"/>
      </w:pPr>
      <w:r>
        <w:fldChar w:fldCharType="begin"/>
      </w:r>
      <w:r>
        <w:instrText xml:space="preserve"> XE "para2:N1C5ED:[P2" </w:instrText>
      </w:r>
      <w:r>
        <w:fldChar w:fldCharType="end"/>
      </w:r>
      <w:r>
        <w:t>“restraint order” means—</w:t>
      </w:r>
    </w:p>
    <w:p w:rsidR="00F0221C" w:rsidRDefault="00F0221C" w:rsidP="00F0221C">
      <w:pPr>
        <w:pStyle w:val="P3"/>
      </w:pPr>
      <w:r>
        <w:fldChar w:fldCharType="begin"/>
      </w:r>
      <w:r>
        <w:instrText xml:space="preserve"> XE "para3:N1C5F1:[P3" </w:instrText>
      </w:r>
      <w:r>
        <w:fldChar w:fldCharType="end"/>
      </w:r>
      <w:r>
        <w:t>(a)</w:t>
      </w:r>
      <w:r>
        <w:tab/>
        <w:t>an order under section 42(1A) of the Senior Courts Act 1981;</w:t>
      </w:r>
    </w:p>
    <w:p w:rsidR="00F0221C" w:rsidRDefault="00F0221C" w:rsidP="00F0221C">
      <w:pPr>
        <w:pStyle w:val="P3"/>
      </w:pPr>
      <w:r>
        <w:fldChar w:fldCharType="begin"/>
      </w:r>
      <w:r>
        <w:instrText xml:space="preserve"> XE "para3:N1C5F7:[P3" </w:instrText>
      </w:r>
      <w:r>
        <w:fldChar w:fldCharType="end"/>
      </w:r>
      <w:r>
        <w:t>(b)</w:t>
      </w:r>
      <w:r>
        <w:tab/>
        <w:t>an order under section 33 of the Employment Tribunals Act 1996;</w:t>
      </w:r>
    </w:p>
    <w:p w:rsidR="00F0221C" w:rsidRDefault="00F0221C" w:rsidP="00F0221C">
      <w:pPr>
        <w:pStyle w:val="P3"/>
      </w:pPr>
      <w:r>
        <w:fldChar w:fldCharType="begin"/>
      </w:r>
      <w:r>
        <w:instrText xml:space="preserve"> XE "para3:N1C5FD:[P3" </w:instrText>
      </w:r>
      <w:r>
        <w:fldChar w:fldCharType="end"/>
      </w:r>
      <w:r>
        <w:t>(c)</w:t>
      </w:r>
      <w:r>
        <w:tab/>
        <w:t>a civil restraint order made under rule 3.11 of the Civil Procedure Rules 1998, or a practice direction made under that rule; or</w:t>
      </w:r>
    </w:p>
    <w:p w:rsidR="00F0221C" w:rsidRDefault="00F0221C" w:rsidP="00F0221C">
      <w:pPr>
        <w:pStyle w:val="P3"/>
      </w:pPr>
      <w:r>
        <w:fldChar w:fldCharType="begin"/>
      </w:r>
      <w:r>
        <w:instrText xml:space="preserve"> XE "para3:N1C603:[P3" </w:instrText>
      </w:r>
      <w:r>
        <w:fldChar w:fldCharType="end"/>
      </w:r>
      <w:r>
        <w:t>(d)</w:t>
      </w:r>
      <w:r>
        <w:tab/>
        <w:t>a civil restraint order under rule 4.8 of the Family Procedure Rules 2010, or the practice direction referred to in that rule.</w:t>
      </w:r>
    </w:p>
    <w:p w:rsidR="00F0221C" w:rsidRDefault="00F0221C" w:rsidP="00F0221C">
      <w:pPr>
        <w:pStyle w:val="P1"/>
      </w:pPr>
      <w:r>
        <w:lastRenderedPageBreak/>
        <w:fldChar w:fldCharType="begin"/>
      </w:r>
      <w:r>
        <w:instrText xml:space="preserve"> XE "para1:N1C609:[P1" </w:instrText>
      </w:r>
      <w:r>
        <w:fldChar w:fldCharType="end"/>
      </w:r>
      <w:r>
        <w:t>(2)</w:t>
      </w:r>
      <w:r>
        <w:tab/>
        <w:t>References to remission of a fee are to be read as including references to a part remission of a fee as appropriate and remit and remitted shall be construed accordingly.</w:t>
      </w:r>
    </w:p>
    <w:p w:rsidR="00F0221C" w:rsidRDefault="00F0221C" w:rsidP="00F0221C">
      <w:pPr>
        <w:pStyle w:val="CommentB"/>
      </w:pPr>
      <w:r>
        <w:fldChar w:fldCharType="begin"/>
      </w:r>
      <w:r>
        <w:instrText xml:space="preserve"> XE "comment:N1C60F" </w:instrText>
      </w:r>
      <w:r>
        <w:fldChar w:fldCharType="end"/>
      </w:r>
      <w:r>
        <w:t>#CommentB</w:t>
      </w:r>
    </w:p>
    <w:p w:rsidR="00F0221C" w:rsidRDefault="00F0221C" w:rsidP="00F0221C">
      <w:pPr>
        <w:pStyle w:val="n-GenericHead"/>
      </w:pPr>
      <w:r>
        <w:rPr>
          <w:b/>
          <w:bCs/>
        </w:rPr>
        <w:fldChar w:fldCharType="begin"/>
      </w:r>
      <w:r>
        <w:rPr>
          <w:b/>
          <w:bCs/>
        </w:rPr>
        <w:instrText xml:space="preserve"> XE "generic-hd:N1C613:n-GenericHead" </w:instrText>
      </w:r>
      <w:r>
        <w:rPr>
          <w:b/>
          <w:bCs/>
        </w:rPr>
        <w:fldChar w:fldCharType="end"/>
      </w:r>
      <w:r>
        <w:rPr>
          <w:b/>
          <w:bCs/>
        </w:rPr>
        <w:t>Amendments—</w:t>
      </w:r>
      <w:r>
        <w:t xml:space="preserve"> </w:t>
      </w:r>
    </w:p>
    <w:p w:rsidR="00F0221C" w:rsidRDefault="00F0221C" w:rsidP="00F0221C">
      <w:pPr>
        <w:pStyle w:val="EndnotesB"/>
      </w:pPr>
      <w:r>
        <w:fldChar w:fldCharType="begin"/>
      </w:r>
      <w:r>
        <w:instrText xml:space="preserve"> XE "endnotes:N1C616:EndnotesB" </w:instrText>
      </w:r>
      <w:r>
        <w:fldChar w:fldCharType="end"/>
      </w:r>
      <w:r>
        <w:t>#EndnotesB</w:t>
      </w:r>
    </w:p>
    <w:p w:rsidR="00F0221C" w:rsidRDefault="00F0221C" w:rsidP="00F0221C">
      <w:pPr>
        <w:pStyle w:val="n-List1"/>
      </w:pPr>
      <w:r>
        <w:fldChar w:fldCharType="begin"/>
      </w:r>
      <w:r>
        <w:instrText xml:space="preserve"> XE "para:N1C619:n-List1" </w:instrText>
      </w:r>
      <w:r>
        <w:fldChar w:fldCharType="end"/>
      </w:r>
      <w:r>
        <w:t>1</w:t>
      </w:r>
      <w:r>
        <w:tab/>
        <w:t xml:space="preserve">Definition of “excluded benefits” substituted by the Courts and Tribunals Fees (Miscellaneous Amendments) Order, SI 2014/590 art 6 with effect from 6 April 2014. </w:t>
      </w:r>
    </w:p>
    <w:p w:rsidR="00F0221C" w:rsidRDefault="00F0221C" w:rsidP="00F0221C">
      <w:pPr>
        <w:pStyle w:val="EndnotesE"/>
      </w:pPr>
      <w:r>
        <w:fldChar w:fldCharType="begin"/>
      </w:r>
      <w:r>
        <w:instrText xml:space="preserve"> XE "endnotes:N1C616:EndnotesE" </w:instrText>
      </w:r>
      <w:r>
        <w:fldChar w:fldCharType="end"/>
      </w:r>
      <w:r>
        <w:t>#EndnotesE</w:t>
      </w:r>
    </w:p>
    <w:p w:rsidR="00F0221C" w:rsidRDefault="00F0221C" w:rsidP="00F0221C">
      <w:pPr>
        <w:pStyle w:val="CommentE"/>
      </w:pPr>
      <w:r>
        <w:fldChar w:fldCharType="begin"/>
      </w:r>
      <w:r>
        <w:instrText xml:space="preserve"> XE "comment:N1C60F" </w:instrText>
      </w:r>
      <w:r>
        <w:fldChar w:fldCharType="end"/>
      </w:r>
      <w:r>
        <w:t>#CommentE</w:t>
      </w:r>
    </w:p>
    <w:p w:rsidR="00F0221C" w:rsidRDefault="00F0221C" w:rsidP="00F0221C">
      <w:pPr>
        <w:pStyle w:val="PNAM"/>
      </w:pPr>
      <w:r>
        <w:fldChar w:fldCharType="begin"/>
      </w:r>
      <w:r>
        <w:instrText xml:space="preserve"> XE "provision:N1C61B:[PNAM" </w:instrText>
      </w:r>
      <w:r>
        <w:fldChar w:fldCharType="end"/>
      </w:r>
      <w:r>
        <w:t>2 Fee remission</w:t>
      </w:r>
    </w:p>
    <w:p w:rsidR="00F0221C" w:rsidRDefault="00F0221C" w:rsidP="00F0221C">
      <w:pPr>
        <w:pStyle w:val="P1"/>
      </w:pPr>
      <w:r>
        <w:fldChar w:fldCharType="begin"/>
      </w:r>
      <w:r>
        <w:instrText xml:space="preserve"> XE "para1:N1C623:[P1" </w:instrText>
      </w:r>
      <w:r>
        <w:fldChar w:fldCharType="end"/>
      </w:r>
      <w:r>
        <w:t>If a party satisfies the disposable capital test, the amount of any fee remission is calculated by applying the gross monthly income test.</w:t>
      </w:r>
    </w:p>
    <w:p w:rsidR="00F0221C" w:rsidRDefault="00F0221C" w:rsidP="00F0221C">
      <w:pPr>
        <w:pStyle w:val="HX"/>
      </w:pPr>
      <w:r>
        <w:fldChar w:fldCharType="begin"/>
      </w:r>
      <w:r>
        <w:instrText xml:space="preserve"> XE "title:N1C62B:[HX" </w:instrText>
      </w:r>
      <w:r>
        <w:fldChar w:fldCharType="end"/>
      </w:r>
      <w:r>
        <w:t>Disposable capital test</w:t>
      </w:r>
    </w:p>
    <w:p w:rsidR="00F0221C" w:rsidRDefault="00F0221C" w:rsidP="00F0221C">
      <w:pPr>
        <w:pStyle w:val="PNAM"/>
      </w:pPr>
      <w:r>
        <w:fldChar w:fldCharType="begin"/>
      </w:r>
      <w:r>
        <w:instrText xml:space="preserve"> XE "provision:N1C62E:[PNAM" </w:instrText>
      </w:r>
      <w:r>
        <w:fldChar w:fldCharType="end"/>
      </w:r>
      <w:r>
        <w:t>3 Disposable capital test</w:t>
      </w:r>
    </w:p>
    <w:p w:rsidR="00F0221C" w:rsidRDefault="00F0221C" w:rsidP="00F0221C">
      <w:pPr>
        <w:pStyle w:val="P1"/>
      </w:pPr>
      <w:r>
        <w:fldChar w:fldCharType="begin"/>
      </w:r>
      <w:r>
        <w:instrText xml:space="preserve"> XE "para1:N1C636:[P1" </w:instrText>
      </w:r>
      <w:r>
        <w:fldChar w:fldCharType="end"/>
      </w:r>
      <w:r>
        <w:t>(1)</w:t>
      </w:r>
      <w:r>
        <w:tab/>
        <w:t>Subject to paragraph 4, a party satisfies the disposable capital test if—</w:t>
      </w:r>
    </w:p>
    <w:p w:rsidR="00F0221C" w:rsidRDefault="00F0221C" w:rsidP="00F0221C">
      <w:pPr>
        <w:pStyle w:val="P2"/>
      </w:pPr>
      <w:r>
        <w:fldChar w:fldCharType="begin"/>
      </w:r>
      <w:r>
        <w:instrText xml:space="preserve"> XE "para2:N1C63C:[P2" </w:instrText>
      </w:r>
      <w:r>
        <w:fldChar w:fldCharType="end"/>
      </w:r>
      <w:r>
        <w:t>(a)</w:t>
      </w:r>
      <w:r>
        <w:tab/>
        <w:t>the fee payable by the party and for which an application for remission is made, falls within a fee band set out in column 1 of Table 1; and</w:t>
      </w:r>
    </w:p>
    <w:p w:rsidR="00F0221C" w:rsidRDefault="00F0221C" w:rsidP="00F0221C">
      <w:pPr>
        <w:pStyle w:val="P2"/>
      </w:pPr>
      <w:r>
        <w:fldChar w:fldCharType="begin"/>
      </w:r>
      <w:r>
        <w:instrText xml:space="preserve"> XE "para2:N1C642:[P2" </w:instrText>
      </w:r>
      <w:r>
        <w:fldChar w:fldCharType="end"/>
      </w:r>
      <w:r>
        <w:t>(b)</w:t>
      </w:r>
      <w:r>
        <w:tab/>
        <w:t>the party’s disposable capital is less than the amount in the corresponding row of column 2.</w:t>
      </w:r>
    </w:p>
    <w:p w:rsidR="00F0221C" w:rsidRDefault="00F0221C" w:rsidP="00F0221C">
      <w:pPr>
        <w:pStyle w:val="FTB"/>
      </w:pPr>
      <w:r>
        <w:fldChar w:fldCharType="begin"/>
      </w:r>
      <w:r>
        <w:instrText xml:space="preserve"> XE "table:N1C648:FTB" </w:instrText>
      </w:r>
      <w:r>
        <w:fldChar w:fldCharType="end"/>
      </w:r>
      <w:r>
        <w:t>[FTB</w:t>
      </w:r>
    </w:p>
    <w:p w:rsidR="00F0221C" w:rsidRDefault="00F0221C" w:rsidP="00F0221C">
      <w:pPr>
        <w:pStyle w:val="TableB"/>
      </w:pPr>
      <w:r>
        <w:fldChar w:fldCharType="begin"/>
      </w:r>
      <w:r>
        <w:instrText xml:space="preserve"> XE "table:N1C648:TableE"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31"/>
        <w:gridCol w:w="2686"/>
      </w:tblGrid>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"entry:N1C660:Table" </w:instrText>
            </w:r>
            <w:r>
              <w:fldChar w:fldCharType="end"/>
            </w:r>
            <w:r>
              <w:fldChar w:fldCharType="begin"/>
            </w:r>
            <w:r>
              <w:instrText xml:space="preserve"> XE "para:N1C665:Table" </w:instrText>
            </w:r>
            <w:r>
              <w:fldChar w:fldCharType="end"/>
            </w:r>
            <w:r>
              <w:rPr>
                <w:b/>
                <w:bCs/>
              </w:rPr>
              <w:t>Table 1</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"entry:N1C669:Table" </w:instrText>
            </w:r>
            <w:r>
              <w:fldChar w:fldCharType="end"/>
            </w:r>
          </w:p>
        </w:tc>
      </w:tr>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"entry:N1C671:Table" </w:instrText>
            </w:r>
            <w:r>
              <w:fldChar w:fldCharType="end"/>
            </w:r>
            <w:r>
              <w:fldChar w:fldCharType="begin"/>
            </w:r>
            <w:r>
              <w:instrText xml:space="preserve"> XE "para:N1C676:Table" </w:instrText>
            </w:r>
            <w:r>
              <w:fldChar w:fldCharType="end"/>
            </w:r>
            <w:r>
              <w:rPr>
                <w:i/>
                <w:iCs/>
              </w:rPr>
              <w:t>Column 1 (fee band)</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"entry:N1C67A:Table" </w:instrText>
            </w:r>
            <w:r>
              <w:fldChar w:fldCharType="end"/>
            </w:r>
            <w:r>
              <w:fldChar w:fldCharType="begin"/>
            </w:r>
            <w:r>
              <w:instrText xml:space="preserve"> XE "para:N1C680:Table" </w:instrText>
            </w:r>
            <w:r>
              <w:fldChar w:fldCharType="end"/>
            </w:r>
            <w:r>
              <w:rPr>
                <w:i/>
                <w:iCs/>
              </w:rPr>
              <w:t>Column 2 (disposable capital)</w:t>
            </w:r>
            <w:r>
              <w:t xml:space="preserve"> </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"entry:N1C686:Table" </w:instrText>
            </w:r>
            <w:r>
              <w:fldChar w:fldCharType="end"/>
            </w:r>
            <w:r>
              <w:fldChar w:fldCharType="begin"/>
            </w:r>
            <w:r>
              <w:instrText xml:space="preserve"> XE "para:N1C68B:Table" </w:instrText>
            </w:r>
            <w:r>
              <w:fldChar w:fldCharType="end"/>
            </w:r>
            <w:r>
              <w:t>Up to and including £1,000</w:t>
            </w:r>
          </w:p>
        </w:tc>
        <w:tc>
          <w:tcPr>
            <w:tcW w:w="0" w:type="auto"/>
            <w:vAlign w:val="center"/>
            <w:hideMark/>
          </w:tcPr>
          <w:p w:rsidR="00F0221C" w:rsidRDefault="00F0221C" w:rsidP="00D9401B">
            <w:pPr>
              <w:pStyle w:val="Table"/>
            </w:pPr>
            <w:r>
              <w:fldChar w:fldCharType="begin"/>
            </w:r>
            <w:r>
              <w:instrText xml:space="preserve"> XE "entry:N1C68D:Table" </w:instrText>
            </w:r>
            <w:r>
              <w:fldChar w:fldCharType="end"/>
            </w:r>
            <w:r>
              <w:fldChar w:fldCharType="begin"/>
            </w:r>
            <w:r>
              <w:instrText xml:space="preserve"> XE "para:N1C693:Table" </w:instrText>
            </w:r>
            <w:r>
              <w:fldChar w:fldCharType="end"/>
            </w:r>
            <w:r>
              <w:t>£3,000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"entry:N1C697:Table" </w:instrText>
            </w:r>
            <w:r>
              <w:fldChar w:fldCharType="end"/>
            </w:r>
            <w:r>
              <w:fldChar w:fldCharType="begin"/>
            </w:r>
            <w:r>
              <w:instrText xml:space="preserve"> XE "para:N1C69C:Table" </w:instrText>
            </w:r>
            <w:r>
              <w:fldChar w:fldCharType="end"/>
            </w:r>
            <w:r>
              <w:t>£1,001 to £1,335</w:t>
            </w:r>
          </w:p>
        </w:tc>
        <w:tc>
          <w:tcPr>
            <w:tcW w:w="0" w:type="auto"/>
            <w:vAlign w:val="center"/>
            <w:hideMark/>
          </w:tcPr>
          <w:p w:rsidR="00F0221C" w:rsidRDefault="00F0221C" w:rsidP="00D9401B">
            <w:pPr>
              <w:pStyle w:val="Table"/>
            </w:pPr>
            <w:r>
              <w:fldChar w:fldCharType="begin"/>
            </w:r>
            <w:r>
              <w:instrText xml:space="preserve"> XE "entry:N1C69E:Table" </w:instrText>
            </w:r>
            <w:r>
              <w:fldChar w:fldCharType="end"/>
            </w:r>
            <w:r>
              <w:fldChar w:fldCharType="begin"/>
            </w:r>
            <w:r>
              <w:instrText xml:space="preserve"> XE "para:N1C6A4:Table" </w:instrText>
            </w:r>
            <w:r>
              <w:fldChar w:fldCharType="end"/>
            </w:r>
            <w:r>
              <w:t>£4,000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"entry:N1C6A8:Table" </w:instrText>
            </w:r>
            <w:r>
              <w:fldChar w:fldCharType="end"/>
            </w:r>
            <w:r>
              <w:fldChar w:fldCharType="begin"/>
            </w:r>
            <w:r>
              <w:instrText xml:space="preserve"> XE "para:N1C6AD:Table" </w:instrText>
            </w:r>
            <w:r>
              <w:fldChar w:fldCharType="end"/>
            </w:r>
            <w:r>
              <w:t>£1,336 to £1,665</w:t>
            </w:r>
          </w:p>
        </w:tc>
        <w:tc>
          <w:tcPr>
            <w:tcW w:w="0" w:type="auto"/>
            <w:vAlign w:val="center"/>
            <w:hideMark/>
          </w:tcPr>
          <w:p w:rsidR="00F0221C" w:rsidRDefault="00F0221C" w:rsidP="00D9401B">
            <w:pPr>
              <w:pStyle w:val="Table"/>
            </w:pPr>
            <w:r>
              <w:fldChar w:fldCharType="begin"/>
            </w:r>
            <w:r>
              <w:instrText xml:space="preserve"> XE "entry:N1C6AF:Table" </w:instrText>
            </w:r>
            <w:r>
              <w:fldChar w:fldCharType="end"/>
            </w:r>
            <w:r>
              <w:fldChar w:fldCharType="begin"/>
            </w:r>
            <w:r>
              <w:instrText xml:space="preserve"> XE "para:N1C6B5:Table" </w:instrText>
            </w:r>
            <w:r>
              <w:fldChar w:fldCharType="end"/>
            </w:r>
            <w:r>
              <w:t>£5,000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"entry:N1C6B9:Table" </w:instrText>
            </w:r>
            <w:r>
              <w:fldChar w:fldCharType="end"/>
            </w:r>
            <w:r>
              <w:fldChar w:fldCharType="begin"/>
            </w:r>
            <w:r>
              <w:instrText xml:space="preserve"> XE "para:N1C6BE:Table" </w:instrText>
            </w:r>
            <w:r>
              <w:fldChar w:fldCharType="end"/>
            </w:r>
            <w:r>
              <w:t>£1,666 to £2,000</w:t>
            </w:r>
          </w:p>
        </w:tc>
        <w:tc>
          <w:tcPr>
            <w:tcW w:w="0" w:type="auto"/>
            <w:vAlign w:val="center"/>
            <w:hideMark/>
          </w:tcPr>
          <w:p w:rsidR="00F0221C" w:rsidRDefault="00F0221C" w:rsidP="00D9401B">
            <w:pPr>
              <w:pStyle w:val="Table"/>
            </w:pPr>
            <w:r>
              <w:fldChar w:fldCharType="begin"/>
            </w:r>
            <w:r>
              <w:instrText xml:space="preserve"> XE "entry:N1C6C0:Table" </w:instrText>
            </w:r>
            <w:r>
              <w:fldChar w:fldCharType="end"/>
            </w:r>
            <w:r>
              <w:fldChar w:fldCharType="begin"/>
            </w:r>
            <w:r>
              <w:instrText xml:space="preserve"> XE "para:N1C6C6:Table" </w:instrText>
            </w:r>
            <w:r>
              <w:fldChar w:fldCharType="end"/>
            </w:r>
            <w:r>
              <w:t>£6,000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"entry:N1C6CA:Table" </w:instrText>
            </w:r>
            <w:r>
              <w:fldChar w:fldCharType="end"/>
            </w:r>
            <w:r>
              <w:fldChar w:fldCharType="begin"/>
            </w:r>
            <w:r>
              <w:instrText xml:space="preserve"> XE "para:N1C6CF:Table" </w:instrText>
            </w:r>
            <w:r>
              <w:fldChar w:fldCharType="end"/>
            </w:r>
            <w:r>
              <w:t>£2,001 to £2,330</w:t>
            </w:r>
          </w:p>
        </w:tc>
        <w:tc>
          <w:tcPr>
            <w:tcW w:w="0" w:type="auto"/>
            <w:vAlign w:val="center"/>
            <w:hideMark/>
          </w:tcPr>
          <w:p w:rsidR="00F0221C" w:rsidRDefault="00F0221C" w:rsidP="00D9401B">
            <w:pPr>
              <w:pStyle w:val="Table"/>
            </w:pPr>
            <w:r>
              <w:fldChar w:fldCharType="begin"/>
            </w:r>
            <w:r>
              <w:instrText xml:space="preserve"> XE "entry:N1C6D1:Table" </w:instrText>
            </w:r>
            <w:r>
              <w:fldChar w:fldCharType="end"/>
            </w:r>
            <w:r>
              <w:fldChar w:fldCharType="begin"/>
            </w:r>
            <w:r>
              <w:instrText xml:space="preserve"> XE "para:N1C6D7:Table" </w:instrText>
            </w:r>
            <w:r>
              <w:fldChar w:fldCharType="end"/>
            </w:r>
            <w:r>
              <w:t>£7,000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"entry:N1C6DB:Table" </w:instrText>
            </w:r>
            <w:r>
              <w:fldChar w:fldCharType="end"/>
            </w:r>
            <w:r>
              <w:fldChar w:fldCharType="begin"/>
            </w:r>
            <w:r>
              <w:instrText xml:space="preserve"> XE "para:N1C6E0:Table" </w:instrText>
            </w:r>
            <w:r>
              <w:fldChar w:fldCharType="end"/>
            </w:r>
            <w:r>
              <w:t>£2,331 to £4,000</w:t>
            </w:r>
          </w:p>
        </w:tc>
        <w:tc>
          <w:tcPr>
            <w:tcW w:w="0" w:type="auto"/>
            <w:vAlign w:val="center"/>
            <w:hideMark/>
          </w:tcPr>
          <w:p w:rsidR="00F0221C" w:rsidRDefault="00F0221C" w:rsidP="00D9401B">
            <w:pPr>
              <w:pStyle w:val="Table"/>
            </w:pPr>
            <w:r>
              <w:fldChar w:fldCharType="begin"/>
            </w:r>
            <w:r>
              <w:instrText xml:space="preserve"> XE "entry:N1C6E2:Table" </w:instrText>
            </w:r>
            <w:r>
              <w:fldChar w:fldCharType="end"/>
            </w:r>
            <w:r>
              <w:fldChar w:fldCharType="begin"/>
            </w:r>
            <w:r>
              <w:instrText xml:space="preserve"> XE "para:N1C6E8:Table" </w:instrText>
            </w:r>
            <w:r>
              <w:fldChar w:fldCharType="end"/>
            </w:r>
            <w:r>
              <w:t>£8,000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"entry:N1C6EC:Table" </w:instrText>
            </w:r>
            <w:r>
              <w:fldChar w:fldCharType="end"/>
            </w:r>
            <w:r>
              <w:fldChar w:fldCharType="begin"/>
            </w:r>
            <w:r>
              <w:instrText xml:space="preserve"> XE "para:N1C6F1:Table" </w:instrText>
            </w:r>
            <w:r>
              <w:fldChar w:fldCharType="end"/>
            </w:r>
            <w:r>
              <w:t>£4,001 to £5,000</w:t>
            </w:r>
          </w:p>
        </w:tc>
        <w:tc>
          <w:tcPr>
            <w:tcW w:w="0" w:type="auto"/>
            <w:vAlign w:val="center"/>
            <w:hideMark/>
          </w:tcPr>
          <w:p w:rsidR="00F0221C" w:rsidRDefault="00F0221C" w:rsidP="00D9401B">
            <w:pPr>
              <w:pStyle w:val="Table"/>
            </w:pPr>
            <w:r>
              <w:fldChar w:fldCharType="begin"/>
            </w:r>
            <w:r>
              <w:instrText xml:space="preserve"> XE "entry:N1C6F3:Table" </w:instrText>
            </w:r>
            <w:r>
              <w:fldChar w:fldCharType="end"/>
            </w:r>
            <w:r>
              <w:fldChar w:fldCharType="begin"/>
            </w:r>
            <w:r>
              <w:instrText xml:space="preserve"> XE "para:N1C6F9:Table" </w:instrText>
            </w:r>
            <w:r>
              <w:fldChar w:fldCharType="end"/>
            </w:r>
            <w:r>
              <w:t>£10,000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"entry:N1C6FD:Table" </w:instrText>
            </w:r>
            <w:r>
              <w:fldChar w:fldCharType="end"/>
            </w:r>
            <w:r>
              <w:fldChar w:fldCharType="begin"/>
            </w:r>
            <w:r>
              <w:instrText xml:space="preserve"> XE "para:N1C702:Table" </w:instrText>
            </w:r>
            <w:r>
              <w:fldChar w:fldCharType="end"/>
            </w:r>
            <w:r>
              <w:t>£5,001 to £6,000</w:t>
            </w:r>
          </w:p>
        </w:tc>
        <w:tc>
          <w:tcPr>
            <w:tcW w:w="0" w:type="auto"/>
            <w:vAlign w:val="center"/>
            <w:hideMark/>
          </w:tcPr>
          <w:p w:rsidR="00F0221C" w:rsidRDefault="00F0221C" w:rsidP="00D9401B">
            <w:pPr>
              <w:pStyle w:val="Table"/>
            </w:pPr>
            <w:r>
              <w:fldChar w:fldCharType="begin"/>
            </w:r>
            <w:r>
              <w:instrText xml:space="preserve"> XE "entry:N1C704:Table" </w:instrText>
            </w:r>
            <w:r>
              <w:fldChar w:fldCharType="end"/>
            </w:r>
            <w:r>
              <w:fldChar w:fldCharType="begin"/>
            </w:r>
            <w:r>
              <w:instrText xml:space="preserve"> XE "para:N1C70A:Table" </w:instrText>
            </w:r>
            <w:r>
              <w:fldChar w:fldCharType="end"/>
            </w:r>
            <w:r>
              <w:t>£12,000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"entry:N1C70E:Table" </w:instrText>
            </w:r>
            <w:r>
              <w:fldChar w:fldCharType="end"/>
            </w:r>
            <w:r>
              <w:fldChar w:fldCharType="begin"/>
            </w:r>
            <w:r>
              <w:instrText xml:space="preserve"> XE "para:N1C713:Table" </w:instrText>
            </w:r>
            <w:r>
              <w:fldChar w:fldCharType="end"/>
            </w:r>
            <w:r>
              <w:t>£6,001 to £7,000</w:t>
            </w:r>
          </w:p>
        </w:tc>
        <w:tc>
          <w:tcPr>
            <w:tcW w:w="0" w:type="auto"/>
            <w:vAlign w:val="center"/>
            <w:hideMark/>
          </w:tcPr>
          <w:p w:rsidR="00F0221C" w:rsidRDefault="00F0221C" w:rsidP="00D9401B">
            <w:pPr>
              <w:pStyle w:val="Table"/>
            </w:pPr>
            <w:r>
              <w:fldChar w:fldCharType="begin"/>
            </w:r>
            <w:r>
              <w:instrText xml:space="preserve"> XE "entry:N1C715:Table" </w:instrText>
            </w:r>
            <w:r>
              <w:fldChar w:fldCharType="end"/>
            </w:r>
            <w:r>
              <w:fldChar w:fldCharType="begin"/>
            </w:r>
            <w:r>
              <w:instrText xml:space="preserve"> XE "para:N1C71B:Table" </w:instrText>
            </w:r>
            <w:r>
              <w:fldChar w:fldCharType="end"/>
            </w:r>
            <w:r>
              <w:t>£14,000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"entry:N1C71F:Table" </w:instrText>
            </w:r>
            <w:r>
              <w:fldChar w:fldCharType="end"/>
            </w:r>
            <w:r>
              <w:fldChar w:fldCharType="begin"/>
            </w:r>
            <w:r>
              <w:instrText xml:space="preserve"> XE "para:N1C724:Table" </w:instrText>
            </w:r>
            <w:r>
              <w:fldChar w:fldCharType="end"/>
            </w:r>
            <w:r>
              <w:t>£7,001 or more</w:t>
            </w:r>
          </w:p>
        </w:tc>
        <w:tc>
          <w:tcPr>
            <w:tcW w:w="0" w:type="auto"/>
            <w:vAlign w:val="center"/>
            <w:hideMark/>
          </w:tcPr>
          <w:p w:rsidR="00F0221C" w:rsidRDefault="00F0221C" w:rsidP="00D9401B">
            <w:pPr>
              <w:pStyle w:val="Table"/>
            </w:pPr>
            <w:r>
              <w:fldChar w:fldCharType="begin"/>
            </w:r>
            <w:r>
              <w:instrText xml:space="preserve"> XE "entry:N1C726:Table" </w:instrText>
            </w:r>
            <w:r>
              <w:fldChar w:fldCharType="end"/>
            </w:r>
            <w:r>
              <w:fldChar w:fldCharType="begin"/>
            </w:r>
            <w:r>
              <w:instrText xml:space="preserve"> XE "para:N1C72C:Table" </w:instrText>
            </w:r>
            <w:r>
              <w:fldChar w:fldCharType="end"/>
            </w:r>
            <w:r>
              <w:t>£16,000</w:t>
            </w:r>
          </w:p>
        </w:tc>
      </w:tr>
    </w:tbl>
    <w:p w:rsidR="00F0221C" w:rsidRDefault="00F0221C" w:rsidP="00F0221C">
      <w:pPr>
        <w:pStyle w:val="TableE"/>
      </w:pPr>
      <w:r>
        <w:fldChar w:fldCharType="begin"/>
      </w:r>
      <w:r>
        <w:instrText xml:space="preserve"> XE "table:N1C648:TableE" </w:instrText>
      </w:r>
      <w:r>
        <w:fldChar w:fldCharType="end"/>
      </w:r>
      <w:r>
        <w:t>#TableE</w:t>
      </w:r>
    </w:p>
    <w:p w:rsidR="00F0221C" w:rsidRDefault="00F0221C" w:rsidP="00F0221C">
      <w:pPr>
        <w:pStyle w:val="FTE"/>
      </w:pPr>
      <w:r>
        <w:fldChar w:fldCharType="begin"/>
      </w:r>
      <w:r>
        <w:instrText xml:space="preserve"> XE "table:N1C648:FTE" </w:instrText>
      </w:r>
      <w:r>
        <w:fldChar w:fldCharType="end"/>
      </w:r>
      <w:r>
        <w:t>[FTE</w:t>
      </w:r>
    </w:p>
    <w:p w:rsidR="00F0221C" w:rsidRDefault="00F0221C" w:rsidP="00F0221C">
      <w:pPr>
        <w:pStyle w:val="PNAM"/>
      </w:pPr>
      <w:r>
        <w:fldChar w:fldCharType="begin"/>
      </w:r>
      <w:r>
        <w:instrText xml:space="preserve"> XE "provision:N1C72E:[PNAM" </w:instrText>
      </w:r>
      <w:r>
        <w:fldChar w:fldCharType="end"/>
      </w:r>
      <w:r>
        <w:t>4</w:t>
      </w:r>
    </w:p>
    <w:p w:rsidR="00F0221C" w:rsidRDefault="00F0221C" w:rsidP="00F0221C">
      <w:pPr>
        <w:pStyle w:val="P1"/>
      </w:pPr>
      <w:r>
        <w:lastRenderedPageBreak/>
        <w:fldChar w:fldCharType="begin"/>
      </w:r>
      <w:r>
        <w:instrText xml:space="preserve"> XE "para1:N1C734:[P1" </w:instrText>
      </w:r>
      <w:r>
        <w:fldChar w:fldCharType="end"/>
      </w:r>
      <w:r>
        <w:t>Subject to paragraph 14, if a party or their partner is aged 61 or over, that party satisfies the disposable capital test if that party’s disposable capital is less than £16,000.</w:t>
      </w:r>
    </w:p>
    <w:p w:rsidR="00F0221C" w:rsidRDefault="00F0221C" w:rsidP="00F0221C">
      <w:pPr>
        <w:pStyle w:val="PNAM"/>
      </w:pPr>
      <w:r>
        <w:fldChar w:fldCharType="begin"/>
      </w:r>
      <w:r>
        <w:instrText xml:space="preserve"> XE "provision:N1C738:[PNAM" </w:instrText>
      </w:r>
      <w:r>
        <w:fldChar w:fldCharType="end"/>
      </w:r>
      <w:r>
        <w:t>5 Disposable capital</w:t>
      </w:r>
    </w:p>
    <w:p w:rsidR="00F0221C" w:rsidRDefault="00F0221C" w:rsidP="00F0221C">
      <w:pPr>
        <w:pStyle w:val="P1"/>
      </w:pPr>
      <w:r>
        <w:fldChar w:fldCharType="begin"/>
      </w:r>
      <w:r>
        <w:instrText xml:space="preserve"> XE "para1:N1C740:[P1" </w:instrText>
      </w:r>
      <w:r>
        <w:fldChar w:fldCharType="end"/>
      </w:r>
      <w:r>
        <w:t>Subject to paragraph 14, disposable capital is the value of every resource of a capital nature belonging to the party on the date on which the application for remission is made, unless it is treated as income by this Order, or it is disregarded as excluded disposable capital.</w:t>
      </w:r>
    </w:p>
    <w:p w:rsidR="00F0221C" w:rsidRDefault="00F0221C" w:rsidP="00F0221C">
      <w:pPr>
        <w:pStyle w:val="PNAM"/>
      </w:pPr>
      <w:r>
        <w:fldChar w:fldCharType="begin"/>
      </w:r>
      <w:r>
        <w:instrText xml:space="preserve"> XE "provision:N1C744:[PNAM" </w:instrText>
      </w:r>
      <w:r>
        <w:fldChar w:fldCharType="end"/>
      </w:r>
      <w:r>
        <w:t>6 Disposable capital—non-money resources</w:t>
      </w:r>
    </w:p>
    <w:p w:rsidR="00F0221C" w:rsidRDefault="00F0221C" w:rsidP="00F0221C">
      <w:pPr>
        <w:pStyle w:val="P1"/>
      </w:pPr>
      <w:r>
        <w:fldChar w:fldCharType="begin"/>
      </w:r>
      <w:r>
        <w:instrText xml:space="preserve"> XE "para1:N1C74C:[P1" </w:instrText>
      </w:r>
      <w:r>
        <w:fldChar w:fldCharType="end"/>
      </w:r>
      <w:r>
        <w:t>The value of a resource of a capital nature that does not consist of money is calculated as the amount which that resource would realise if sold, less—</w:t>
      </w:r>
    </w:p>
    <w:p w:rsidR="00F0221C" w:rsidRDefault="00F0221C" w:rsidP="00F0221C">
      <w:pPr>
        <w:pStyle w:val="P2"/>
      </w:pPr>
      <w:r>
        <w:fldChar w:fldCharType="begin"/>
      </w:r>
      <w:r>
        <w:instrText xml:space="preserve"> XE "para2:N1C750:[P2" </w:instrText>
      </w:r>
      <w:r>
        <w:fldChar w:fldCharType="end"/>
      </w:r>
      <w:r>
        <w:t>(a)</w:t>
      </w:r>
      <w:r>
        <w:tab/>
        <w:t>10% of the sale value; and</w:t>
      </w:r>
    </w:p>
    <w:p w:rsidR="00F0221C" w:rsidRDefault="00F0221C" w:rsidP="00F0221C">
      <w:pPr>
        <w:pStyle w:val="P2"/>
      </w:pPr>
      <w:r>
        <w:fldChar w:fldCharType="begin"/>
      </w:r>
      <w:r>
        <w:instrText xml:space="preserve"> XE "para2:N1C756:[P2" </w:instrText>
      </w:r>
      <w:r>
        <w:fldChar w:fldCharType="end"/>
      </w:r>
      <w:r>
        <w:t>(b)</w:t>
      </w:r>
      <w:r>
        <w:tab/>
        <w:t>the amount of any borrowing secured against that resource that would be repayable on sale.</w:t>
      </w:r>
    </w:p>
    <w:p w:rsidR="00F0221C" w:rsidRDefault="00F0221C" w:rsidP="00F0221C">
      <w:pPr>
        <w:pStyle w:val="PNAM"/>
      </w:pPr>
      <w:r>
        <w:fldChar w:fldCharType="begin"/>
      </w:r>
      <w:r>
        <w:instrText xml:space="preserve"> XE "provision:N1C75C:[PNAM" </w:instrText>
      </w:r>
      <w:r>
        <w:fldChar w:fldCharType="end"/>
      </w:r>
      <w:r>
        <w:t>7 Disposable capital—resources held outside the United Kingdom</w:t>
      </w:r>
    </w:p>
    <w:p w:rsidR="00F0221C" w:rsidRDefault="00F0221C" w:rsidP="00F0221C">
      <w:pPr>
        <w:pStyle w:val="P1"/>
      </w:pPr>
      <w:r>
        <w:fldChar w:fldCharType="begin"/>
      </w:r>
      <w:r>
        <w:instrText xml:space="preserve"> XE "para1:N1C764:[P1" </w:instrText>
      </w:r>
      <w:r>
        <w:fldChar w:fldCharType="end"/>
      </w:r>
      <w:r>
        <w:t>(1)</w:t>
      </w:r>
      <w:r>
        <w:tab/>
        <w:t>Capital resources in a country outside the United Kingdom count towards disposable capital.</w:t>
      </w:r>
    </w:p>
    <w:p w:rsidR="00F0221C" w:rsidRDefault="00F0221C" w:rsidP="00F0221C">
      <w:pPr>
        <w:pStyle w:val="P1"/>
      </w:pPr>
      <w:r>
        <w:fldChar w:fldCharType="begin"/>
      </w:r>
      <w:r>
        <w:instrText xml:space="preserve"> XE "para1:N1C76A:[P1" </w:instrText>
      </w:r>
      <w:r>
        <w:fldChar w:fldCharType="end"/>
      </w:r>
      <w:r>
        <w:t>(2)</w:t>
      </w:r>
      <w:r>
        <w:tab/>
        <w:t>If there is no prohibition in that country against the transfer of a resource into the United Kingdom, the value of that resource is the amount which that resource would realise if sold in that country, in accordance with paragraph 6.</w:t>
      </w:r>
    </w:p>
    <w:p w:rsidR="00F0221C" w:rsidRDefault="00F0221C" w:rsidP="00F0221C">
      <w:pPr>
        <w:pStyle w:val="P1"/>
      </w:pPr>
      <w:r>
        <w:fldChar w:fldCharType="begin"/>
      </w:r>
      <w:r>
        <w:instrText xml:space="preserve"> XE "para1:N1C770:[P1" </w:instrText>
      </w:r>
      <w:r>
        <w:fldChar w:fldCharType="end"/>
      </w:r>
      <w:r>
        <w:t>(3)</w:t>
      </w:r>
      <w:r>
        <w:tab/>
        <w:t>If there is a prohibition in that country against the transfer of a resource into the United Kingdom, the value of that resource is the amount that resource would realise if sold to a buyer in the United Kingdom.</w:t>
      </w:r>
    </w:p>
    <w:p w:rsidR="00F0221C" w:rsidRDefault="00F0221C" w:rsidP="00F0221C">
      <w:pPr>
        <w:pStyle w:val="PNAM"/>
      </w:pPr>
      <w:r>
        <w:fldChar w:fldCharType="begin"/>
      </w:r>
      <w:r>
        <w:instrText xml:space="preserve"> XE "provision:N1C776:[PNAM" </w:instrText>
      </w:r>
      <w:r>
        <w:fldChar w:fldCharType="end"/>
      </w:r>
      <w:r>
        <w:t>8 Disposable capital—foreign currency resources</w:t>
      </w:r>
    </w:p>
    <w:p w:rsidR="00F0221C" w:rsidRDefault="00F0221C" w:rsidP="00F0221C">
      <w:pPr>
        <w:pStyle w:val="P1"/>
      </w:pPr>
      <w:r>
        <w:fldChar w:fldCharType="begin"/>
      </w:r>
      <w:r>
        <w:instrText xml:space="preserve"> XE "para1:N1C77E:[P1" </w:instrText>
      </w:r>
      <w:r>
        <w:fldChar w:fldCharType="end"/>
      </w:r>
      <w:r>
        <w:t>Where disposable capital is held in currency other than sterling, the cost of any banking charge or commission that would be payable if that amount were converted into sterling, is deducted from its value.</w:t>
      </w:r>
    </w:p>
    <w:p w:rsidR="00F0221C" w:rsidRDefault="00F0221C" w:rsidP="00F0221C">
      <w:pPr>
        <w:pStyle w:val="PNAM"/>
      </w:pPr>
      <w:r>
        <w:fldChar w:fldCharType="begin"/>
      </w:r>
      <w:r>
        <w:instrText xml:space="preserve"> XE "provision:N1C782:[PNAM" </w:instrText>
      </w:r>
      <w:r>
        <w:fldChar w:fldCharType="end"/>
      </w:r>
      <w:r>
        <w:t>9 Disposable capital—jointly owned resources</w:t>
      </w:r>
    </w:p>
    <w:p w:rsidR="00F0221C" w:rsidRDefault="00F0221C" w:rsidP="00F0221C">
      <w:pPr>
        <w:pStyle w:val="P1"/>
      </w:pPr>
      <w:r>
        <w:fldChar w:fldCharType="begin"/>
      </w:r>
      <w:r>
        <w:instrText xml:space="preserve"> XE "para1:N1C78A:[P1" </w:instrText>
      </w:r>
      <w:r>
        <w:fldChar w:fldCharType="end"/>
      </w:r>
      <w:r>
        <w:t>Where any resource of a capital nature is owned jointly or in common, there is a presumption that the resource is owned in equal shares, unless evidence to the contrary is produced.</w:t>
      </w:r>
    </w:p>
    <w:p w:rsidR="00F0221C" w:rsidRDefault="00F0221C" w:rsidP="00F0221C">
      <w:pPr>
        <w:pStyle w:val="PNAM"/>
      </w:pPr>
      <w:r>
        <w:fldChar w:fldCharType="begin"/>
      </w:r>
      <w:r>
        <w:instrText xml:space="preserve"> XE "provision:N1C78E:[PNAM" </w:instrText>
      </w:r>
      <w:r>
        <w:fldChar w:fldCharType="end"/>
      </w:r>
      <w:r>
        <w:t>10 Excluded disposable capital</w:t>
      </w:r>
    </w:p>
    <w:p w:rsidR="00F0221C" w:rsidRDefault="00F0221C" w:rsidP="00F0221C">
      <w:pPr>
        <w:pStyle w:val="P1"/>
      </w:pPr>
      <w:r>
        <w:fldChar w:fldCharType="begin"/>
      </w:r>
      <w:r>
        <w:instrText xml:space="preserve"> XE "para1:N1C796:[P1" </w:instrText>
      </w:r>
      <w:r>
        <w:fldChar w:fldCharType="end"/>
      </w:r>
      <w:r>
        <w:t>The following things are excluded disposable capital—</w:t>
      </w:r>
    </w:p>
    <w:p w:rsidR="00F0221C" w:rsidRDefault="00F0221C" w:rsidP="00F0221C">
      <w:pPr>
        <w:pStyle w:val="P2"/>
      </w:pPr>
      <w:r>
        <w:fldChar w:fldCharType="begin"/>
      </w:r>
      <w:r>
        <w:instrText xml:space="preserve"> XE "para2:N1C79A:[P2" </w:instrText>
      </w:r>
      <w:r>
        <w:fldChar w:fldCharType="end"/>
      </w:r>
      <w:r>
        <w:t>(a)</w:t>
      </w:r>
      <w:r>
        <w:tab/>
        <w:t>a property which is the main or only dwelling occupied by the party;</w:t>
      </w:r>
    </w:p>
    <w:p w:rsidR="00F0221C" w:rsidRDefault="00F0221C" w:rsidP="00F0221C">
      <w:pPr>
        <w:pStyle w:val="P2"/>
      </w:pPr>
      <w:r>
        <w:fldChar w:fldCharType="begin"/>
      </w:r>
      <w:r>
        <w:instrText xml:space="preserve"> XE "para2:N1C7A0:[P2" </w:instrText>
      </w:r>
      <w:r>
        <w:fldChar w:fldCharType="end"/>
      </w:r>
      <w:r>
        <w:t>(b)</w:t>
      </w:r>
      <w:r>
        <w:tab/>
        <w:t>the household furniture and effects of the main or only dwelling occupied by the party;</w:t>
      </w:r>
    </w:p>
    <w:p w:rsidR="00F0221C" w:rsidRDefault="00F0221C" w:rsidP="00F0221C">
      <w:pPr>
        <w:pStyle w:val="P2"/>
      </w:pPr>
      <w:r>
        <w:fldChar w:fldCharType="begin"/>
      </w:r>
      <w:r>
        <w:instrText xml:space="preserve"> XE "para2:N1C7A6:[P2" </w:instrText>
      </w:r>
      <w:r>
        <w:fldChar w:fldCharType="end"/>
      </w:r>
      <w:r>
        <w:t>(c)</w:t>
      </w:r>
      <w:r>
        <w:tab/>
        <w:t>articles of personal clothing;</w:t>
      </w:r>
    </w:p>
    <w:p w:rsidR="00F0221C" w:rsidRDefault="00F0221C" w:rsidP="00F0221C">
      <w:pPr>
        <w:pStyle w:val="P2"/>
      </w:pPr>
      <w:r>
        <w:fldChar w:fldCharType="begin"/>
      </w:r>
      <w:r>
        <w:instrText xml:space="preserve"> XE "para2:N1C7AC:[P2" </w:instrText>
      </w:r>
      <w:r>
        <w:fldChar w:fldCharType="end"/>
      </w:r>
      <w:r>
        <w:t>(d)</w:t>
      </w:r>
      <w:r>
        <w:tab/>
        <w:t>any vehicle, the sale of which would leave the party, or their partner, without motor transport;</w:t>
      </w:r>
    </w:p>
    <w:p w:rsidR="00F0221C" w:rsidRDefault="00F0221C" w:rsidP="00F0221C">
      <w:pPr>
        <w:pStyle w:val="P2"/>
      </w:pPr>
      <w:r>
        <w:fldChar w:fldCharType="begin"/>
      </w:r>
      <w:r>
        <w:instrText xml:space="preserve"> XE "para2:N1C7B2:[P2" </w:instrText>
      </w:r>
      <w:r>
        <w:fldChar w:fldCharType="end"/>
      </w:r>
      <w:r>
        <w:t>(e)</w:t>
      </w:r>
      <w:r>
        <w:tab/>
        <w:t>tools and implements of trade, including vehicles used for business purposes;</w:t>
      </w:r>
    </w:p>
    <w:p w:rsidR="00F0221C" w:rsidRDefault="00F0221C" w:rsidP="00F0221C">
      <w:pPr>
        <w:pStyle w:val="P2"/>
      </w:pPr>
      <w:r>
        <w:fldChar w:fldCharType="begin"/>
      </w:r>
      <w:r>
        <w:instrText xml:space="preserve"> XE "para2:N1C7B8:[P2" </w:instrText>
      </w:r>
      <w:r>
        <w:fldChar w:fldCharType="end"/>
      </w:r>
      <w:r>
        <w:t>(f)</w:t>
      </w:r>
      <w:r>
        <w:tab/>
        <w:t>the capital value of the party’s or their partner’s business, where the party or their partner is self-employed;</w:t>
      </w:r>
    </w:p>
    <w:p w:rsidR="00F0221C" w:rsidRDefault="00F0221C" w:rsidP="00F0221C">
      <w:pPr>
        <w:pStyle w:val="P2"/>
      </w:pPr>
      <w:r>
        <w:fldChar w:fldCharType="begin"/>
      </w:r>
      <w:r>
        <w:instrText xml:space="preserve"> XE "para2:N1C7BE:[P2" </w:instrText>
      </w:r>
      <w:r>
        <w:fldChar w:fldCharType="end"/>
      </w:r>
      <w:r>
        <w:t>(g)</w:t>
      </w:r>
      <w:r>
        <w:tab/>
        <w:t>the capital value of any funds or other assets held in trust, where the party or their partner is a beneficiary without entitlement to advances of any trust capital;</w:t>
      </w:r>
    </w:p>
    <w:p w:rsidR="00F0221C" w:rsidRDefault="00F0221C" w:rsidP="00F0221C">
      <w:pPr>
        <w:pStyle w:val="P2"/>
      </w:pPr>
      <w:r>
        <w:lastRenderedPageBreak/>
        <w:fldChar w:fldCharType="begin"/>
      </w:r>
      <w:r>
        <w:instrText xml:space="preserve"> XE "para2:N1C7C4:[P2" </w:instrText>
      </w:r>
      <w:r>
        <w:fldChar w:fldCharType="end"/>
      </w:r>
      <w:r>
        <w:t>(h)</w:t>
      </w:r>
      <w:r>
        <w:tab/>
        <w:t>a jobseeker’s back to work bonus;</w:t>
      </w:r>
    </w:p>
    <w:p w:rsidR="00F0221C" w:rsidRDefault="00F0221C" w:rsidP="00F0221C">
      <w:pPr>
        <w:pStyle w:val="P2"/>
      </w:pPr>
      <w:r>
        <w:fldChar w:fldCharType="begin"/>
      </w:r>
      <w:r>
        <w:instrText xml:space="preserve"> XE "para2:N1C7CA:[P2" </w:instrText>
      </w:r>
      <w:r>
        <w:fldChar w:fldCharType="end"/>
      </w:r>
      <w:r>
        <w:t>(i)</w:t>
      </w:r>
      <w:r>
        <w:tab/>
        <w:t>a payment made as a result of a determination of unfair dismissal by a court or tribunal, or by way of settlement of a claim for unfair dismissal;</w:t>
      </w:r>
    </w:p>
    <w:p w:rsidR="00F0221C" w:rsidRDefault="00F0221C" w:rsidP="00F0221C">
      <w:pPr>
        <w:pStyle w:val="P2"/>
      </w:pPr>
      <w:r>
        <w:fldChar w:fldCharType="begin"/>
      </w:r>
      <w:r>
        <w:instrText xml:space="preserve"> XE "para2:N1C7D0:[P2" </w:instrText>
      </w:r>
      <w:r>
        <w:fldChar w:fldCharType="end"/>
      </w:r>
      <w:r>
        <w:t>(j)</w:t>
      </w:r>
      <w:r>
        <w:tab/>
        <w:t>any compensation paid as a result of a determination of medical negligence or in respect of any personal injury by a court, or by way of settlement of a claim for medical negligence or personal injury;</w:t>
      </w:r>
    </w:p>
    <w:p w:rsidR="00F0221C" w:rsidRDefault="00F0221C" w:rsidP="00F0221C">
      <w:pPr>
        <w:pStyle w:val="P2"/>
      </w:pPr>
      <w:r>
        <w:fldChar w:fldCharType="begin"/>
      </w:r>
      <w:r>
        <w:instrText xml:space="preserve"> XE "para2:N1C7D6:[P2" </w:instrText>
      </w:r>
      <w:r>
        <w:fldChar w:fldCharType="end"/>
      </w:r>
      <w:r>
        <w:t>(k)</w:t>
      </w:r>
      <w:r>
        <w:tab/>
        <w:t>the capital held in any personal or occupational pension scheme;</w:t>
      </w:r>
    </w:p>
    <w:p w:rsidR="00F0221C" w:rsidRDefault="00F0221C" w:rsidP="00F0221C">
      <w:pPr>
        <w:pStyle w:val="P2"/>
      </w:pPr>
      <w:r>
        <w:fldChar w:fldCharType="begin"/>
      </w:r>
      <w:r>
        <w:instrText xml:space="preserve"> XE "para2:N1C7DC:[P2" </w:instrText>
      </w:r>
      <w:r>
        <w:fldChar w:fldCharType="end"/>
      </w:r>
      <w:r>
        <w:t>(l)</w:t>
      </w:r>
      <w:r>
        <w:tab/>
        <w:t>any cash value payable on surrender of a contract of insurance;</w:t>
      </w:r>
    </w:p>
    <w:p w:rsidR="00F0221C" w:rsidRDefault="00F0221C" w:rsidP="00F0221C">
      <w:pPr>
        <w:pStyle w:val="P2"/>
      </w:pPr>
      <w:r>
        <w:fldChar w:fldCharType="begin"/>
      </w:r>
      <w:r>
        <w:instrText xml:space="preserve"> XE "para2:N1C7E2:[P2" </w:instrText>
      </w:r>
      <w:r>
        <w:fldChar w:fldCharType="end"/>
      </w:r>
      <w:r>
        <w:t>(m)</w:t>
      </w:r>
      <w:r>
        <w:tab/>
        <w:t>any capital payment made out of the Independent Living Funds;</w:t>
      </w:r>
    </w:p>
    <w:p w:rsidR="00F0221C" w:rsidRDefault="00F0221C" w:rsidP="00F0221C">
      <w:pPr>
        <w:pStyle w:val="P2"/>
      </w:pPr>
      <w:r>
        <w:fldChar w:fldCharType="begin"/>
      </w:r>
      <w:r>
        <w:instrText xml:space="preserve"> XE "para2:N1C7E8:[P2" </w:instrText>
      </w:r>
      <w:r>
        <w:fldChar w:fldCharType="end"/>
      </w:r>
      <w:r>
        <w:t>(n)</w:t>
      </w:r>
      <w:r>
        <w:tab/>
        <w:t>any bereavement payment;</w:t>
      </w:r>
    </w:p>
    <w:p w:rsidR="00F0221C" w:rsidRDefault="00F0221C" w:rsidP="00F0221C">
      <w:pPr>
        <w:pStyle w:val="P2"/>
      </w:pPr>
      <w:r>
        <w:fldChar w:fldCharType="begin"/>
      </w:r>
      <w:r>
        <w:instrText xml:space="preserve"> XE "para2:N1C7EE:[P2" </w:instrText>
      </w:r>
      <w:r>
        <w:fldChar w:fldCharType="end"/>
      </w:r>
      <w:r>
        <w:t>(o)</w:t>
      </w:r>
      <w:r>
        <w:tab/>
        <w:t>any capital insurance or endowment lump sum payments that have been paid as a result of illness, disability or death;</w:t>
      </w:r>
    </w:p>
    <w:p w:rsidR="00F0221C" w:rsidRDefault="00F0221C" w:rsidP="00F0221C">
      <w:pPr>
        <w:pStyle w:val="P2"/>
      </w:pPr>
      <w:r>
        <w:fldChar w:fldCharType="begin"/>
      </w:r>
      <w:r>
        <w:instrText xml:space="preserve"> XE "para2:N1C7F4:[P2" </w:instrText>
      </w:r>
      <w:r>
        <w:fldChar w:fldCharType="end"/>
      </w:r>
      <w:r>
        <w:t>(p)</w:t>
      </w:r>
      <w:r>
        <w:tab/>
        <w:t>any student loan or student grant;</w:t>
      </w:r>
    </w:p>
    <w:p w:rsidR="00F0221C" w:rsidRDefault="00F0221C" w:rsidP="00F0221C">
      <w:pPr>
        <w:pStyle w:val="P2"/>
      </w:pPr>
      <w:r>
        <w:fldChar w:fldCharType="begin"/>
      </w:r>
      <w:r>
        <w:instrText xml:space="preserve"> XE "para2:N1C7FA:[P2" </w:instrText>
      </w:r>
      <w:r>
        <w:fldChar w:fldCharType="end"/>
      </w:r>
      <w:r>
        <w:t>(q)</w:t>
      </w:r>
      <w:r>
        <w:tab/>
        <w:t>any payments under the criminal injuries compensation scheme.</w:t>
      </w:r>
    </w:p>
    <w:p w:rsidR="00F0221C" w:rsidRDefault="00F0221C" w:rsidP="00F0221C">
      <w:pPr>
        <w:pStyle w:val="HX"/>
      </w:pPr>
      <w:r>
        <w:fldChar w:fldCharType="begin"/>
      </w:r>
      <w:r>
        <w:instrText xml:space="preserve"> XE "title:N1C804:[HX" </w:instrText>
      </w:r>
      <w:r>
        <w:fldChar w:fldCharType="end"/>
      </w:r>
      <w:r>
        <w:t>Gross monthly income test</w:t>
      </w:r>
    </w:p>
    <w:p w:rsidR="00F0221C" w:rsidRDefault="00F0221C" w:rsidP="00F0221C">
      <w:pPr>
        <w:pStyle w:val="PNAM"/>
      </w:pPr>
      <w:r>
        <w:fldChar w:fldCharType="begin"/>
      </w:r>
      <w:r>
        <w:instrText xml:space="preserve"> XE "provision:N1C807:[PNAM" </w:instrText>
      </w:r>
      <w:r>
        <w:fldChar w:fldCharType="end"/>
      </w:r>
      <w:r>
        <w:t>11 Remission of fees—gross monthly income</w:t>
      </w:r>
    </w:p>
    <w:p w:rsidR="00F0221C" w:rsidRDefault="00F0221C" w:rsidP="00F0221C">
      <w:pPr>
        <w:pStyle w:val="P1"/>
      </w:pPr>
      <w:r>
        <w:fldChar w:fldCharType="begin"/>
      </w:r>
      <w:r>
        <w:instrText xml:space="preserve"> XE "para1:N1C80F:[P1" </w:instrText>
      </w:r>
      <w:r>
        <w:fldChar w:fldCharType="end"/>
      </w:r>
      <w:r>
        <w:t>(1)</w:t>
      </w:r>
      <w:r>
        <w:tab/>
        <w:t>If a party satisfies the disposable capital test, no fee is payable under this Order if, at the time when the fee would otherwise be payable, the party or their partner has the number of children specified in column 1 of Table 2 and—</w:t>
      </w:r>
    </w:p>
    <w:p w:rsidR="00F0221C" w:rsidRDefault="00F0221C" w:rsidP="00F0221C">
      <w:pPr>
        <w:pStyle w:val="P2"/>
      </w:pPr>
      <w:r>
        <w:fldChar w:fldCharType="begin"/>
      </w:r>
      <w:r>
        <w:instrText xml:space="preserve"> XE "para2:N1C815:[P2" </w:instrText>
      </w:r>
      <w:r>
        <w:fldChar w:fldCharType="end"/>
      </w:r>
      <w:r>
        <w:t>(a)</w:t>
      </w:r>
      <w:r>
        <w:tab/>
        <w:t>if the party is single, their gross monthly income does not exceed the amount set out in the appropriate row of column 2; or</w:t>
      </w:r>
    </w:p>
    <w:p w:rsidR="00F0221C" w:rsidRDefault="00F0221C" w:rsidP="00F0221C">
      <w:pPr>
        <w:pStyle w:val="P2"/>
      </w:pPr>
      <w:r>
        <w:fldChar w:fldCharType="begin"/>
      </w:r>
      <w:r>
        <w:instrText xml:space="preserve"> XE "para2:N1C81B:[P2" </w:instrText>
      </w:r>
      <w:r>
        <w:fldChar w:fldCharType="end"/>
      </w:r>
      <w:r>
        <w:t>(b)</w:t>
      </w:r>
      <w:r>
        <w:tab/>
        <w:t>if the party is one of a couple, the gross monthly income of that couple does not exceed the amount set out in the appropriate row of column 3.</w:t>
      </w:r>
    </w:p>
    <w:p w:rsidR="00F0221C" w:rsidRDefault="00F0221C" w:rsidP="00F0221C">
      <w:pPr>
        <w:pStyle w:val="FTB"/>
      </w:pPr>
      <w:r>
        <w:fldChar w:fldCharType="begin"/>
      </w:r>
      <w:r>
        <w:instrText xml:space="preserve"> XE "table:N1C821:FTB" </w:instrText>
      </w:r>
      <w:r>
        <w:fldChar w:fldCharType="end"/>
      </w:r>
      <w:r>
        <w:t>[FTB</w:t>
      </w:r>
    </w:p>
    <w:p w:rsidR="00F0221C" w:rsidRDefault="00F0221C" w:rsidP="00F0221C">
      <w:pPr>
        <w:pStyle w:val="TableB"/>
      </w:pPr>
      <w:r>
        <w:fldChar w:fldCharType="begin"/>
      </w:r>
      <w:r>
        <w:instrText xml:space="preserve"> XE "table:N1C821:TableE"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"entry:N1C83F:Table" </w:instrText>
            </w:r>
            <w:r>
              <w:fldChar w:fldCharType="end"/>
            </w:r>
            <w:r>
              <w:fldChar w:fldCharType="begin"/>
            </w:r>
            <w:r>
              <w:instrText xml:space="preserve"> XE "para:N1C844:Table" </w:instrText>
            </w:r>
            <w:r>
              <w:fldChar w:fldCharType="end"/>
            </w:r>
            <w:r>
              <w:rPr>
                <w:b/>
                <w:bCs/>
              </w:rPr>
              <w:t>Table 2</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"entry:N1C848:Table" </w:instrText>
            </w:r>
            <w:r>
              <w:fldChar w:fldCharType="end"/>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"entry:N1C84E:Table" </w:instrText>
            </w:r>
            <w:r>
              <w:fldChar w:fldCharType="end"/>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"entry:N1C856:Table" </w:instrText>
            </w:r>
            <w:r>
              <w:fldChar w:fldCharType="end"/>
            </w:r>
            <w:r>
              <w:fldChar w:fldCharType="begin"/>
            </w:r>
            <w:r>
              <w:instrText xml:space="preserve"> XE "para:N1C85B:Table" </w:instrText>
            </w:r>
            <w:r>
              <w:fldChar w:fldCharType="end"/>
            </w:r>
            <w:r>
              <w:rPr>
                <w:i/>
                <w:iCs/>
              </w:rPr>
              <w:t>Column 1</w:t>
            </w:r>
            <w:r>
              <w:t xml:space="preserve"> </w:t>
            </w:r>
          </w:p>
        </w:tc>
        <w:tc>
          <w:tcPr>
            <w:tcW w:w="0" w:type="auto"/>
            <w:vAlign w:val="center"/>
            <w:hideMark/>
          </w:tcPr>
          <w:p w:rsidR="00F0221C" w:rsidRDefault="00F0221C" w:rsidP="00D9401B">
            <w:pPr>
              <w:pStyle w:val="Table"/>
            </w:pPr>
            <w:r>
              <w:fldChar w:fldCharType="begin"/>
            </w:r>
            <w:r>
              <w:instrText xml:space="preserve"> XE "entry:N1C85F:Table" </w:instrText>
            </w:r>
            <w:r>
              <w:fldChar w:fldCharType="end"/>
            </w:r>
            <w:r>
              <w:fldChar w:fldCharType="begin"/>
            </w:r>
            <w:r>
              <w:instrText xml:space="preserve"> XE "para:N1C865:Table" </w:instrText>
            </w:r>
            <w:r>
              <w:fldChar w:fldCharType="end"/>
            </w:r>
            <w:r>
              <w:rPr>
                <w:i/>
                <w:iCs/>
              </w:rPr>
              <w:t>Column 2</w:t>
            </w:r>
            <w:r>
              <w:t xml:space="preserve"> </w:t>
            </w:r>
          </w:p>
        </w:tc>
        <w:tc>
          <w:tcPr>
            <w:tcW w:w="0" w:type="auto"/>
            <w:vAlign w:val="center"/>
            <w:hideMark/>
          </w:tcPr>
          <w:p w:rsidR="00F0221C" w:rsidRDefault="00F0221C" w:rsidP="00D9401B">
            <w:pPr>
              <w:pStyle w:val="Table"/>
            </w:pPr>
            <w:r>
              <w:fldChar w:fldCharType="begin"/>
            </w:r>
            <w:r>
              <w:instrText xml:space="preserve"> XE "entry:N1C869:Table" </w:instrText>
            </w:r>
            <w:r>
              <w:fldChar w:fldCharType="end"/>
            </w:r>
            <w:r>
              <w:fldChar w:fldCharType="begin"/>
            </w:r>
            <w:r>
              <w:instrText xml:space="preserve"> XE "para:N1C86F:Table" </w:instrText>
            </w:r>
            <w:r>
              <w:fldChar w:fldCharType="end"/>
            </w:r>
            <w:r>
              <w:rPr>
                <w:i/>
                <w:iCs/>
              </w:rPr>
              <w:t>Column 3</w:t>
            </w:r>
            <w:r>
              <w:t xml:space="preserve"> </w:t>
            </w:r>
          </w:p>
        </w:tc>
      </w:tr>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"entry:N1C875:Table" </w:instrText>
            </w:r>
            <w:r>
              <w:fldChar w:fldCharType="end"/>
            </w:r>
            <w:r>
              <w:fldChar w:fldCharType="begin"/>
            </w:r>
            <w:r>
              <w:instrText xml:space="preserve"> XE "para:N1C87A:Table"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"entry:N1C87E:Table" </w:instrText>
            </w:r>
            <w:r>
              <w:fldChar w:fldCharType="end"/>
            </w:r>
            <w:r>
              <w:fldChar w:fldCharType="begin"/>
            </w:r>
            <w:r>
              <w:instrText xml:space="preserve"> XE "para:N1C884:Table" </w:instrText>
            </w:r>
            <w:r>
              <w:fldChar w:fldCharType="end"/>
            </w:r>
            <w:r>
              <w:rPr>
                <w:i/>
                <w:iCs/>
              </w:rPr>
              <w:t>Single</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"entry:N1C888:Table" </w:instrText>
            </w:r>
            <w:r>
              <w:fldChar w:fldCharType="end"/>
            </w:r>
            <w:r>
              <w:fldChar w:fldCharType="begin"/>
            </w:r>
            <w:r>
              <w:instrText xml:space="preserve"> XE "para:N1C88E:Table" </w:instrText>
            </w:r>
            <w:r>
              <w:fldChar w:fldCharType="end"/>
            </w:r>
            <w:r>
              <w:rPr>
                <w:i/>
                <w:iCs/>
              </w:rPr>
              <w:t>Couple</w:t>
            </w:r>
            <w:r>
              <w:t xml:space="preserve"> </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"entry:N1C894:Table" </w:instrText>
            </w:r>
            <w:r>
              <w:fldChar w:fldCharType="end"/>
            </w:r>
            <w:r>
              <w:fldChar w:fldCharType="begin"/>
            </w:r>
            <w:r>
              <w:instrText xml:space="preserve"> XE "para:N1C899:Table" </w:instrText>
            </w:r>
            <w:r>
              <w:fldChar w:fldCharType="end"/>
            </w:r>
            <w:r>
              <w:t>no children</w:t>
            </w:r>
          </w:p>
        </w:tc>
        <w:tc>
          <w:tcPr>
            <w:tcW w:w="0" w:type="auto"/>
            <w:vAlign w:val="center"/>
            <w:hideMark/>
          </w:tcPr>
          <w:p w:rsidR="00F0221C" w:rsidRDefault="00F0221C" w:rsidP="00D9401B">
            <w:pPr>
              <w:pStyle w:val="Table"/>
            </w:pPr>
            <w:r>
              <w:fldChar w:fldCharType="begin"/>
            </w:r>
            <w:r>
              <w:instrText xml:space="preserve"> XE "entry:N1C89B:Table" </w:instrText>
            </w:r>
            <w:r>
              <w:fldChar w:fldCharType="end"/>
            </w:r>
            <w:r>
              <w:fldChar w:fldCharType="begin"/>
            </w:r>
            <w:r>
              <w:instrText xml:space="preserve"> XE "para:N1C8A1:Table" </w:instrText>
            </w:r>
            <w:r>
              <w:fldChar w:fldCharType="end"/>
            </w:r>
            <w:r>
              <w:t>£1,085</w:t>
            </w:r>
          </w:p>
        </w:tc>
        <w:tc>
          <w:tcPr>
            <w:tcW w:w="0" w:type="auto"/>
            <w:vAlign w:val="center"/>
            <w:hideMark/>
          </w:tcPr>
          <w:p w:rsidR="00F0221C" w:rsidRDefault="00F0221C" w:rsidP="00D9401B">
            <w:pPr>
              <w:pStyle w:val="Table"/>
            </w:pPr>
            <w:r>
              <w:fldChar w:fldCharType="begin"/>
            </w:r>
            <w:r>
              <w:instrText xml:space="preserve"> XE "entry:N1C8A3:Table" </w:instrText>
            </w:r>
            <w:r>
              <w:fldChar w:fldCharType="end"/>
            </w:r>
            <w:r>
              <w:fldChar w:fldCharType="begin"/>
            </w:r>
            <w:r>
              <w:instrText xml:space="preserve"> XE "para:N1C8A9:Table" </w:instrText>
            </w:r>
            <w:r>
              <w:fldChar w:fldCharType="end"/>
            </w:r>
            <w:r>
              <w:t>£1,245</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"entry:N1C8AD:Table" </w:instrText>
            </w:r>
            <w:r>
              <w:fldChar w:fldCharType="end"/>
            </w:r>
            <w:r>
              <w:fldChar w:fldCharType="begin"/>
            </w:r>
            <w:r>
              <w:instrText xml:space="preserve"> XE "para:N1C8B2:Table" </w:instrText>
            </w:r>
            <w:r>
              <w:fldChar w:fldCharType="end"/>
            </w:r>
            <w:r>
              <w:t>1 child</w:t>
            </w:r>
          </w:p>
        </w:tc>
        <w:tc>
          <w:tcPr>
            <w:tcW w:w="0" w:type="auto"/>
            <w:vAlign w:val="center"/>
            <w:hideMark/>
          </w:tcPr>
          <w:p w:rsidR="00F0221C" w:rsidRDefault="00F0221C" w:rsidP="00D9401B">
            <w:pPr>
              <w:pStyle w:val="Table"/>
            </w:pPr>
            <w:r>
              <w:fldChar w:fldCharType="begin"/>
            </w:r>
            <w:r>
              <w:instrText xml:space="preserve"> XE "entry:N1C8B4:Table" </w:instrText>
            </w:r>
            <w:r>
              <w:fldChar w:fldCharType="end"/>
            </w:r>
            <w:r>
              <w:fldChar w:fldCharType="begin"/>
            </w:r>
            <w:r>
              <w:instrText xml:space="preserve"> XE "para:N1C8BA:Table" </w:instrText>
            </w:r>
            <w:r>
              <w:fldChar w:fldCharType="end"/>
            </w:r>
            <w:r>
              <w:t>£1,330</w:t>
            </w:r>
          </w:p>
        </w:tc>
        <w:tc>
          <w:tcPr>
            <w:tcW w:w="0" w:type="auto"/>
            <w:vAlign w:val="center"/>
            <w:hideMark/>
          </w:tcPr>
          <w:p w:rsidR="00F0221C" w:rsidRDefault="00F0221C" w:rsidP="00D9401B">
            <w:pPr>
              <w:pStyle w:val="Table"/>
            </w:pPr>
            <w:r>
              <w:fldChar w:fldCharType="begin"/>
            </w:r>
            <w:r>
              <w:instrText xml:space="preserve"> XE "entry:N1C8BC:Table" </w:instrText>
            </w:r>
            <w:r>
              <w:fldChar w:fldCharType="end"/>
            </w:r>
            <w:r>
              <w:fldChar w:fldCharType="begin"/>
            </w:r>
            <w:r>
              <w:instrText xml:space="preserve"> XE "para:N1C8C2:Table" </w:instrText>
            </w:r>
            <w:r>
              <w:fldChar w:fldCharType="end"/>
            </w:r>
            <w:r>
              <w:t>£1,490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"entry:N1C8C6:Table" </w:instrText>
            </w:r>
            <w:r>
              <w:fldChar w:fldCharType="end"/>
            </w:r>
            <w:r>
              <w:fldChar w:fldCharType="begin"/>
            </w:r>
            <w:r>
              <w:instrText xml:space="preserve"> XE "para:N1C8CB:Table" </w:instrText>
            </w:r>
            <w:r>
              <w:fldChar w:fldCharType="end"/>
            </w:r>
            <w:r>
              <w:t>2 children</w:t>
            </w:r>
          </w:p>
        </w:tc>
        <w:tc>
          <w:tcPr>
            <w:tcW w:w="0" w:type="auto"/>
            <w:vAlign w:val="center"/>
            <w:hideMark/>
          </w:tcPr>
          <w:p w:rsidR="00F0221C" w:rsidRDefault="00F0221C" w:rsidP="00D9401B">
            <w:pPr>
              <w:pStyle w:val="Table"/>
            </w:pPr>
            <w:r>
              <w:fldChar w:fldCharType="begin"/>
            </w:r>
            <w:r>
              <w:instrText xml:space="preserve"> XE "entry:N1C8CD:Table" </w:instrText>
            </w:r>
            <w:r>
              <w:fldChar w:fldCharType="end"/>
            </w:r>
            <w:r>
              <w:fldChar w:fldCharType="begin"/>
            </w:r>
            <w:r>
              <w:instrText xml:space="preserve"> XE "para:N1C8D3:Table" </w:instrText>
            </w:r>
            <w:r>
              <w:fldChar w:fldCharType="end"/>
            </w:r>
            <w:r>
              <w:t>£1,575</w:t>
            </w:r>
          </w:p>
        </w:tc>
        <w:tc>
          <w:tcPr>
            <w:tcW w:w="0" w:type="auto"/>
            <w:vAlign w:val="center"/>
            <w:hideMark/>
          </w:tcPr>
          <w:p w:rsidR="00F0221C" w:rsidRDefault="00F0221C" w:rsidP="00D9401B">
            <w:pPr>
              <w:pStyle w:val="Table"/>
            </w:pPr>
            <w:r>
              <w:fldChar w:fldCharType="begin"/>
            </w:r>
            <w:r>
              <w:instrText xml:space="preserve"> XE "entry:N1C8D5:Table" </w:instrText>
            </w:r>
            <w:r>
              <w:fldChar w:fldCharType="end"/>
            </w:r>
            <w:r>
              <w:fldChar w:fldCharType="begin"/>
            </w:r>
            <w:r>
              <w:instrText xml:space="preserve"> XE "para:N1C8DB:Table" </w:instrText>
            </w:r>
            <w:r>
              <w:fldChar w:fldCharType="end"/>
            </w:r>
            <w:r>
              <w:t>£1,735</w:t>
            </w:r>
          </w:p>
        </w:tc>
      </w:tr>
    </w:tbl>
    <w:p w:rsidR="00F0221C" w:rsidRDefault="00F0221C" w:rsidP="00F0221C">
      <w:pPr>
        <w:pStyle w:val="TableE"/>
      </w:pPr>
      <w:r>
        <w:fldChar w:fldCharType="begin"/>
      </w:r>
      <w:r>
        <w:instrText xml:space="preserve"> XE "table:N1C821:TableE" </w:instrText>
      </w:r>
      <w:r>
        <w:fldChar w:fldCharType="end"/>
      </w:r>
      <w:r>
        <w:t>#TableE</w:t>
      </w:r>
    </w:p>
    <w:p w:rsidR="00F0221C" w:rsidRDefault="00F0221C" w:rsidP="00F0221C">
      <w:pPr>
        <w:pStyle w:val="FTE"/>
      </w:pPr>
      <w:r>
        <w:fldChar w:fldCharType="begin"/>
      </w:r>
      <w:r>
        <w:instrText xml:space="preserve"> XE "table:N1C821:FTE" </w:instrText>
      </w:r>
      <w:r>
        <w:fldChar w:fldCharType="end"/>
      </w:r>
      <w:r>
        <w:t>[FTE</w:t>
      </w:r>
    </w:p>
    <w:p w:rsidR="00F0221C" w:rsidRDefault="00F0221C" w:rsidP="00F0221C">
      <w:pPr>
        <w:pStyle w:val="P1"/>
      </w:pPr>
      <w:r>
        <w:fldChar w:fldCharType="begin"/>
      </w:r>
      <w:r>
        <w:instrText xml:space="preserve"> XE "para1:N1C8DD:[P1" </w:instrText>
      </w:r>
      <w:r>
        <w:fldChar w:fldCharType="end"/>
      </w:r>
      <w:r>
        <w:t>(2)</w:t>
      </w:r>
      <w:r>
        <w:tab/>
        <w:t>If a party or their partner has more than 2 children, the relevant amount of gross monthly income is the appropriate amount specified in Table 2 for 2 children, plus the sum of £245 for each additional child.</w:t>
      </w:r>
    </w:p>
    <w:p w:rsidR="00F0221C" w:rsidRDefault="00F0221C" w:rsidP="00F0221C">
      <w:pPr>
        <w:pStyle w:val="P1"/>
      </w:pPr>
      <w:r>
        <w:lastRenderedPageBreak/>
        <w:fldChar w:fldCharType="begin"/>
      </w:r>
      <w:r>
        <w:instrText xml:space="preserve"> XE "para1:N1C8E3:[P1" </w:instrText>
      </w:r>
      <w:r>
        <w:fldChar w:fldCharType="end"/>
      </w:r>
      <w:r>
        <w:t>(3)</w:t>
      </w:r>
      <w:r>
        <w:tab/>
        <w:t>For every £10 of gross monthly income received above the appropriate amount in Table 2, including any additional amount added under sub-paragraph (2), the party must pay £5 towards the fee payable, up to the maximum amount of the fee payable.</w:t>
      </w:r>
    </w:p>
    <w:p w:rsidR="00F0221C" w:rsidRDefault="00F0221C" w:rsidP="00F0221C">
      <w:pPr>
        <w:pStyle w:val="P1"/>
      </w:pPr>
      <w:r>
        <w:fldChar w:fldCharType="begin"/>
      </w:r>
      <w:r>
        <w:instrText xml:space="preserve"> XE "para1:N1C8E9:[P1" </w:instrText>
      </w:r>
      <w:r>
        <w:fldChar w:fldCharType="end"/>
      </w:r>
      <w:r>
        <w:t>(4)</w:t>
      </w:r>
      <w:r>
        <w:tab/>
        <w:t>This paragraph is subject to paragraph 12.</w:t>
      </w:r>
    </w:p>
    <w:p w:rsidR="00F0221C" w:rsidRDefault="00F0221C" w:rsidP="00F0221C">
      <w:pPr>
        <w:pStyle w:val="PNAM"/>
      </w:pPr>
      <w:r>
        <w:fldChar w:fldCharType="begin"/>
      </w:r>
      <w:r>
        <w:instrText xml:space="preserve"> XE "provision:N1C8EF:[PNAM" </w:instrText>
      </w:r>
      <w:r>
        <w:fldChar w:fldCharType="end"/>
      </w:r>
      <w:r>
        <w:t>12 Gross monthly income cap</w:t>
      </w:r>
    </w:p>
    <w:p w:rsidR="00F0221C" w:rsidRDefault="00F0221C" w:rsidP="00F0221C">
      <w:pPr>
        <w:pStyle w:val="P1"/>
      </w:pPr>
      <w:r>
        <w:fldChar w:fldCharType="begin"/>
      </w:r>
      <w:r>
        <w:instrText xml:space="preserve"> XE "para1:N1C8F7:[P1" </w:instrText>
      </w:r>
      <w:r>
        <w:fldChar w:fldCharType="end"/>
      </w:r>
      <w:r>
        <w:t>(1)</w:t>
      </w:r>
      <w:r>
        <w:tab/>
        <w:t>No remission is available if a party or their partner has the number of children specified in column 1 of Table 3 and—</w:t>
      </w:r>
    </w:p>
    <w:p w:rsidR="00F0221C" w:rsidRDefault="00F0221C" w:rsidP="00F0221C">
      <w:pPr>
        <w:pStyle w:val="P2"/>
      </w:pPr>
      <w:r>
        <w:fldChar w:fldCharType="begin"/>
      </w:r>
      <w:r>
        <w:instrText xml:space="preserve"> XE "para2:N1C8FD:[P2" </w:instrText>
      </w:r>
      <w:r>
        <w:fldChar w:fldCharType="end"/>
      </w:r>
      <w:r>
        <w:t>(a)</w:t>
      </w:r>
      <w:r>
        <w:tab/>
        <w:t>if the party is single, their gross monthly income exceeds the amount set out in the appropriate row of column 2 of Table 3; or</w:t>
      </w:r>
    </w:p>
    <w:p w:rsidR="00F0221C" w:rsidRDefault="00F0221C" w:rsidP="00F0221C">
      <w:pPr>
        <w:pStyle w:val="P2"/>
      </w:pPr>
      <w:r>
        <w:fldChar w:fldCharType="begin"/>
      </w:r>
      <w:r>
        <w:instrText xml:space="preserve"> XE "para2:N1C903:[P2" </w:instrText>
      </w:r>
      <w:r>
        <w:fldChar w:fldCharType="end"/>
      </w:r>
      <w:r>
        <w:t>(b)</w:t>
      </w:r>
      <w:r>
        <w:tab/>
        <w:t>if the party is one of a couple, the gross monthly income of that couple exceeds the amount set out in the appropriate row of column 3 of Table 3.</w:t>
      </w:r>
    </w:p>
    <w:p w:rsidR="00F0221C" w:rsidRDefault="00F0221C" w:rsidP="00F0221C">
      <w:pPr>
        <w:pStyle w:val="FTB"/>
      </w:pPr>
      <w:r>
        <w:fldChar w:fldCharType="begin"/>
      </w:r>
      <w:r>
        <w:instrText xml:space="preserve"> XE "table:N1C909:FTB" </w:instrText>
      </w:r>
      <w:r>
        <w:fldChar w:fldCharType="end"/>
      </w:r>
      <w:r>
        <w:t>[FTB</w:t>
      </w:r>
    </w:p>
    <w:p w:rsidR="00F0221C" w:rsidRDefault="00F0221C" w:rsidP="00F0221C">
      <w:pPr>
        <w:pStyle w:val="TableB"/>
      </w:pPr>
      <w:r>
        <w:fldChar w:fldCharType="begin"/>
      </w:r>
      <w:r>
        <w:instrText xml:space="preserve"> XE "table:N1C909:TableE"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"entry:N1C927:Table" </w:instrText>
            </w:r>
            <w:r>
              <w:fldChar w:fldCharType="end"/>
            </w:r>
            <w:r>
              <w:fldChar w:fldCharType="begin"/>
            </w:r>
            <w:r>
              <w:instrText xml:space="preserve"> XE "para:N1C92C:Table" </w:instrText>
            </w:r>
            <w:r>
              <w:fldChar w:fldCharType="end"/>
            </w:r>
            <w:r>
              <w:rPr>
                <w:b/>
                <w:bCs/>
              </w:rPr>
              <w:t>Table 3</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"entry:N1C930:Table" </w:instrText>
            </w:r>
            <w:r>
              <w:fldChar w:fldCharType="end"/>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"entry:N1C936:Table" </w:instrText>
            </w:r>
            <w:r>
              <w:fldChar w:fldCharType="end"/>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"entry:N1C93E:Table" </w:instrText>
            </w:r>
            <w:r>
              <w:fldChar w:fldCharType="end"/>
            </w:r>
            <w:r>
              <w:fldChar w:fldCharType="begin"/>
            </w:r>
            <w:r>
              <w:instrText xml:space="preserve"> XE "para:N1C943:Table" </w:instrText>
            </w:r>
            <w:r>
              <w:fldChar w:fldCharType="end"/>
            </w:r>
            <w:r>
              <w:rPr>
                <w:i/>
                <w:iCs/>
              </w:rPr>
              <w:t>Column 1</w:t>
            </w:r>
            <w:r>
              <w:t xml:space="preserve"> </w:t>
            </w:r>
          </w:p>
        </w:tc>
        <w:tc>
          <w:tcPr>
            <w:tcW w:w="0" w:type="auto"/>
            <w:vAlign w:val="center"/>
            <w:hideMark/>
          </w:tcPr>
          <w:p w:rsidR="00F0221C" w:rsidRDefault="00F0221C" w:rsidP="00D9401B">
            <w:pPr>
              <w:pStyle w:val="Table"/>
            </w:pPr>
            <w:r>
              <w:fldChar w:fldCharType="begin"/>
            </w:r>
            <w:r>
              <w:instrText xml:space="preserve"> XE "entry:N1C947:Table" </w:instrText>
            </w:r>
            <w:r>
              <w:fldChar w:fldCharType="end"/>
            </w:r>
            <w:r>
              <w:fldChar w:fldCharType="begin"/>
            </w:r>
            <w:r>
              <w:instrText xml:space="preserve"> XE "para:N1C94D:Table" </w:instrText>
            </w:r>
            <w:r>
              <w:fldChar w:fldCharType="end"/>
            </w:r>
            <w:r>
              <w:rPr>
                <w:i/>
                <w:iCs/>
              </w:rPr>
              <w:t>Column 2</w:t>
            </w:r>
            <w:r>
              <w:t xml:space="preserve"> </w:t>
            </w:r>
          </w:p>
        </w:tc>
        <w:tc>
          <w:tcPr>
            <w:tcW w:w="0" w:type="auto"/>
            <w:vAlign w:val="center"/>
            <w:hideMark/>
          </w:tcPr>
          <w:p w:rsidR="00F0221C" w:rsidRDefault="00F0221C" w:rsidP="00D9401B">
            <w:pPr>
              <w:pStyle w:val="Table"/>
            </w:pPr>
            <w:r>
              <w:fldChar w:fldCharType="begin"/>
            </w:r>
            <w:r>
              <w:instrText xml:space="preserve"> XE "entry:N1C951:Table" </w:instrText>
            </w:r>
            <w:r>
              <w:fldChar w:fldCharType="end"/>
            </w:r>
            <w:r>
              <w:fldChar w:fldCharType="begin"/>
            </w:r>
            <w:r>
              <w:instrText xml:space="preserve"> XE "para:N1C957:Table" </w:instrText>
            </w:r>
            <w:r>
              <w:fldChar w:fldCharType="end"/>
            </w:r>
            <w:r>
              <w:rPr>
                <w:i/>
                <w:iCs/>
              </w:rPr>
              <w:t>Column 3</w:t>
            </w:r>
            <w:r>
              <w:t xml:space="preserve"> </w:t>
            </w:r>
          </w:p>
        </w:tc>
      </w:tr>
      <w:tr w:rsidR="00F0221C" w:rsidTr="00D9401B">
        <w:trPr>
          <w:tblCellSpacing w:w="7" w:type="dxa"/>
        </w:trPr>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"entry:N1C95D:Table" </w:instrText>
            </w:r>
            <w:r>
              <w:fldChar w:fldCharType="end"/>
            </w:r>
            <w:r>
              <w:fldChar w:fldCharType="begin"/>
            </w:r>
            <w:r>
              <w:instrText xml:space="preserve"> XE "para:N1C962:Table"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"entry:N1C966:Table" </w:instrText>
            </w:r>
            <w:r>
              <w:fldChar w:fldCharType="end"/>
            </w:r>
            <w:r>
              <w:fldChar w:fldCharType="begin"/>
            </w:r>
            <w:r>
              <w:instrText xml:space="preserve"> XE "para:N1C96C:Table" </w:instrText>
            </w:r>
            <w:r>
              <w:fldChar w:fldCharType="end"/>
            </w:r>
            <w:r>
              <w:rPr>
                <w:i/>
                <w:iCs/>
              </w:rPr>
              <w:t>Single</w:t>
            </w:r>
            <w:r>
              <w:t xml:space="preserve"> </w:t>
            </w:r>
          </w:p>
        </w:tc>
        <w:tc>
          <w:tcPr>
            <w:tcW w:w="0" w:type="auto"/>
            <w:tcBorders>
              <w:bottom w:val="single" w:sz="4" w:space="0" w:color="auto"/>
            </w:tcBorders>
            <w:vAlign w:val="center"/>
            <w:hideMark/>
          </w:tcPr>
          <w:p w:rsidR="00F0221C" w:rsidRDefault="00F0221C" w:rsidP="00D9401B">
            <w:pPr>
              <w:pStyle w:val="Table"/>
            </w:pPr>
            <w:r>
              <w:fldChar w:fldCharType="begin"/>
            </w:r>
            <w:r>
              <w:instrText xml:space="preserve"> XE "entry:N1C970:Table" </w:instrText>
            </w:r>
            <w:r>
              <w:fldChar w:fldCharType="end"/>
            </w:r>
            <w:r>
              <w:fldChar w:fldCharType="begin"/>
            </w:r>
            <w:r>
              <w:instrText xml:space="preserve"> XE "para:N1C976:Table" </w:instrText>
            </w:r>
            <w:r>
              <w:fldChar w:fldCharType="end"/>
            </w:r>
            <w:r>
              <w:rPr>
                <w:i/>
                <w:iCs/>
              </w:rPr>
              <w:t>Couple</w:t>
            </w:r>
            <w:r>
              <w:t xml:space="preserve"> </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"entry:N1C97C:Table" </w:instrText>
            </w:r>
            <w:r>
              <w:fldChar w:fldCharType="end"/>
            </w:r>
            <w:r>
              <w:fldChar w:fldCharType="begin"/>
            </w:r>
            <w:r>
              <w:instrText xml:space="preserve"> XE "para:N1C981:Table" </w:instrText>
            </w:r>
            <w:r>
              <w:fldChar w:fldCharType="end"/>
            </w:r>
            <w:r>
              <w:t>no children</w:t>
            </w:r>
          </w:p>
        </w:tc>
        <w:tc>
          <w:tcPr>
            <w:tcW w:w="0" w:type="auto"/>
            <w:vAlign w:val="center"/>
            <w:hideMark/>
          </w:tcPr>
          <w:p w:rsidR="00F0221C" w:rsidRDefault="00F0221C" w:rsidP="00D9401B">
            <w:pPr>
              <w:pStyle w:val="Table"/>
            </w:pPr>
            <w:r>
              <w:fldChar w:fldCharType="begin"/>
            </w:r>
            <w:r>
              <w:instrText xml:space="preserve"> XE "entry:N1C983:Table" </w:instrText>
            </w:r>
            <w:r>
              <w:fldChar w:fldCharType="end"/>
            </w:r>
            <w:r>
              <w:fldChar w:fldCharType="begin"/>
            </w:r>
            <w:r>
              <w:instrText xml:space="preserve"> XE "para:N1C989:Table" </w:instrText>
            </w:r>
            <w:r>
              <w:fldChar w:fldCharType="end"/>
            </w:r>
            <w:r>
              <w:t>£5,085</w:t>
            </w:r>
          </w:p>
        </w:tc>
        <w:tc>
          <w:tcPr>
            <w:tcW w:w="0" w:type="auto"/>
            <w:vAlign w:val="center"/>
            <w:hideMark/>
          </w:tcPr>
          <w:p w:rsidR="00F0221C" w:rsidRDefault="00F0221C" w:rsidP="00D9401B">
            <w:pPr>
              <w:pStyle w:val="Table"/>
            </w:pPr>
            <w:r>
              <w:fldChar w:fldCharType="begin"/>
            </w:r>
            <w:r>
              <w:instrText xml:space="preserve"> XE "entry:N1C98B:Table" </w:instrText>
            </w:r>
            <w:r>
              <w:fldChar w:fldCharType="end"/>
            </w:r>
            <w:r>
              <w:fldChar w:fldCharType="begin"/>
            </w:r>
            <w:r>
              <w:instrText xml:space="preserve"> XE "para:N1C991:Table" </w:instrText>
            </w:r>
            <w:r>
              <w:fldChar w:fldCharType="end"/>
            </w:r>
            <w:r>
              <w:t>£5,245</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"entry:N1C995:Table" </w:instrText>
            </w:r>
            <w:r>
              <w:fldChar w:fldCharType="end"/>
            </w:r>
            <w:r>
              <w:fldChar w:fldCharType="begin"/>
            </w:r>
            <w:r>
              <w:instrText xml:space="preserve"> XE "para:N1C99A:Table" </w:instrText>
            </w:r>
            <w:r>
              <w:fldChar w:fldCharType="end"/>
            </w:r>
            <w:r>
              <w:t>1 child</w:t>
            </w:r>
          </w:p>
        </w:tc>
        <w:tc>
          <w:tcPr>
            <w:tcW w:w="0" w:type="auto"/>
            <w:vAlign w:val="center"/>
            <w:hideMark/>
          </w:tcPr>
          <w:p w:rsidR="00F0221C" w:rsidRDefault="00F0221C" w:rsidP="00D9401B">
            <w:pPr>
              <w:pStyle w:val="Table"/>
            </w:pPr>
            <w:r>
              <w:fldChar w:fldCharType="begin"/>
            </w:r>
            <w:r>
              <w:instrText xml:space="preserve"> XE "entry:N1C99C:Table" </w:instrText>
            </w:r>
            <w:r>
              <w:fldChar w:fldCharType="end"/>
            </w:r>
            <w:r>
              <w:fldChar w:fldCharType="begin"/>
            </w:r>
            <w:r>
              <w:instrText xml:space="preserve"> XE "para:N1C9A2:Table" </w:instrText>
            </w:r>
            <w:r>
              <w:fldChar w:fldCharType="end"/>
            </w:r>
            <w:r>
              <w:t>£5,330</w:t>
            </w:r>
          </w:p>
        </w:tc>
        <w:tc>
          <w:tcPr>
            <w:tcW w:w="0" w:type="auto"/>
            <w:vAlign w:val="center"/>
            <w:hideMark/>
          </w:tcPr>
          <w:p w:rsidR="00F0221C" w:rsidRDefault="00F0221C" w:rsidP="00D9401B">
            <w:pPr>
              <w:pStyle w:val="Table"/>
            </w:pPr>
            <w:r>
              <w:fldChar w:fldCharType="begin"/>
            </w:r>
            <w:r>
              <w:instrText xml:space="preserve"> XE "entry:N1C9A4:Table" </w:instrText>
            </w:r>
            <w:r>
              <w:fldChar w:fldCharType="end"/>
            </w:r>
            <w:r>
              <w:fldChar w:fldCharType="begin"/>
            </w:r>
            <w:r>
              <w:instrText xml:space="preserve"> XE "para:N1C9AA:Table" </w:instrText>
            </w:r>
            <w:r>
              <w:fldChar w:fldCharType="end"/>
            </w:r>
            <w:r>
              <w:t>£5,490</w:t>
            </w:r>
          </w:p>
        </w:tc>
      </w:tr>
      <w:tr w:rsidR="00F0221C" w:rsidTr="00D9401B">
        <w:trPr>
          <w:tblCellSpacing w:w="7" w:type="dxa"/>
        </w:trPr>
        <w:tc>
          <w:tcPr>
            <w:tcW w:w="0" w:type="auto"/>
            <w:vAlign w:val="center"/>
            <w:hideMark/>
          </w:tcPr>
          <w:p w:rsidR="00F0221C" w:rsidRDefault="00F0221C" w:rsidP="00D9401B">
            <w:pPr>
              <w:pStyle w:val="Table"/>
            </w:pPr>
            <w:r>
              <w:fldChar w:fldCharType="begin"/>
            </w:r>
            <w:r>
              <w:instrText xml:space="preserve"> XE "entry:N1C9AE:Table" </w:instrText>
            </w:r>
            <w:r>
              <w:fldChar w:fldCharType="end"/>
            </w:r>
            <w:r>
              <w:fldChar w:fldCharType="begin"/>
            </w:r>
            <w:r>
              <w:instrText xml:space="preserve"> XE "para:N1C9B3:Table" </w:instrText>
            </w:r>
            <w:r>
              <w:fldChar w:fldCharType="end"/>
            </w:r>
            <w:r>
              <w:t>2 children</w:t>
            </w:r>
          </w:p>
        </w:tc>
        <w:tc>
          <w:tcPr>
            <w:tcW w:w="0" w:type="auto"/>
            <w:vAlign w:val="center"/>
            <w:hideMark/>
          </w:tcPr>
          <w:p w:rsidR="00F0221C" w:rsidRDefault="00F0221C" w:rsidP="00D9401B">
            <w:pPr>
              <w:pStyle w:val="Table"/>
            </w:pPr>
            <w:r>
              <w:fldChar w:fldCharType="begin"/>
            </w:r>
            <w:r>
              <w:instrText xml:space="preserve"> XE "entry:N1C9B5:Table" </w:instrText>
            </w:r>
            <w:r>
              <w:fldChar w:fldCharType="end"/>
            </w:r>
            <w:r>
              <w:fldChar w:fldCharType="begin"/>
            </w:r>
            <w:r>
              <w:instrText xml:space="preserve"> XE "para:N1C9BB:Table" </w:instrText>
            </w:r>
            <w:r>
              <w:fldChar w:fldCharType="end"/>
            </w:r>
            <w:r>
              <w:t>£5,575</w:t>
            </w:r>
          </w:p>
        </w:tc>
        <w:tc>
          <w:tcPr>
            <w:tcW w:w="0" w:type="auto"/>
            <w:vAlign w:val="center"/>
            <w:hideMark/>
          </w:tcPr>
          <w:p w:rsidR="00F0221C" w:rsidRDefault="00F0221C" w:rsidP="00D9401B">
            <w:pPr>
              <w:pStyle w:val="Table"/>
            </w:pPr>
            <w:r>
              <w:fldChar w:fldCharType="begin"/>
            </w:r>
            <w:r>
              <w:instrText xml:space="preserve"> XE "entry:N1C9BD:Table" </w:instrText>
            </w:r>
            <w:r>
              <w:fldChar w:fldCharType="end"/>
            </w:r>
            <w:r>
              <w:fldChar w:fldCharType="begin"/>
            </w:r>
            <w:r>
              <w:instrText xml:space="preserve"> XE "para:N1C9C3:Table" </w:instrText>
            </w:r>
            <w:r>
              <w:fldChar w:fldCharType="end"/>
            </w:r>
            <w:r>
              <w:t>£5,735</w:t>
            </w:r>
          </w:p>
        </w:tc>
      </w:tr>
    </w:tbl>
    <w:p w:rsidR="00F0221C" w:rsidRDefault="00F0221C" w:rsidP="00F0221C">
      <w:pPr>
        <w:pStyle w:val="TableE"/>
      </w:pPr>
      <w:r>
        <w:fldChar w:fldCharType="begin"/>
      </w:r>
      <w:r>
        <w:instrText xml:space="preserve"> XE "table:N1C909:TableE" </w:instrText>
      </w:r>
      <w:r>
        <w:fldChar w:fldCharType="end"/>
      </w:r>
      <w:r>
        <w:t>#TableE</w:t>
      </w:r>
    </w:p>
    <w:p w:rsidR="00F0221C" w:rsidRDefault="00F0221C" w:rsidP="00F0221C">
      <w:pPr>
        <w:pStyle w:val="FTE"/>
      </w:pPr>
      <w:r>
        <w:fldChar w:fldCharType="begin"/>
      </w:r>
      <w:r>
        <w:instrText xml:space="preserve"> XE "table:N1C909:FTE" </w:instrText>
      </w:r>
      <w:r>
        <w:fldChar w:fldCharType="end"/>
      </w:r>
      <w:r>
        <w:t>[FTE</w:t>
      </w:r>
    </w:p>
    <w:p w:rsidR="00F0221C" w:rsidRDefault="00F0221C" w:rsidP="00F0221C">
      <w:pPr>
        <w:pStyle w:val="P1"/>
      </w:pPr>
      <w:r>
        <w:fldChar w:fldCharType="begin"/>
      </w:r>
      <w:r>
        <w:instrText xml:space="preserve"> XE "para1:N1C9C5:[P1" </w:instrText>
      </w:r>
      <w:r>
        <w:fldChar w:fldCharType="end"/>
      </w:r>
      <w:r>
        <w:t>(2)</w:t>
      </w:r>
      <w:r>
        <w:tab/>
        <w:t>If a party or their partner has more than 2 children, the relevant amount of gross monthly income is the appropriate amount specified in Table 3 for 2 children, plus the sum of £245 for each additional child.</w:t>
      </w:r>
    </w:p>
    <w:p w:rsidR="00F0221C" w:rsidRDefault="00F0221C" w:rsidP="00F0221C">
      <w:pPr>
        <w:pStyle w:val="PNAM"/>
      </w:pPr>
      <w:r>
        <w:fldChar w:fldCharType="begin"/>
      </w:r>
      <w:r>
        <w:instrText xml:space="preserve"> XE "provision:N1C9CB:[PNAM" </w:instrText>
      </w:r>
      <w:r>
        <w:fldChar w:fldCharType="end"/>
      </w:r>
      <w:r>
        <w:t>13 Gross monthly income</w:t>
      </w:r>
    </w:p>
    <w:p w:rsidR="00F0221C" w:rsidRDefault="00F0221C" w:rsidP="00F0221C">
      <w:pPr>
        <w:pStyle w:val="P1"/>
      </w:pPr>
      <w:r>
        <w:fldChar w:fldCharType="begin"/>
      </w:r>
      <w:r>
        <w:instrText xml:space="preserve"> XE "para1:N1C9D3:[P1" </w:instrText>
      </w:r>
      <w:r>
        <w:fldChar w:fldCharType="end"/>
      </w:r>
      <w:r>
        <w:t>(1)</w:t>
      </w:r>
      <w:r>
        <w:tab/>
        <w:t>Subject to paragraph 14, gross monthly income means the total monthly income, for the month preceding that in which the application for remission is made, from all sources, other than receipt of any of the excluded benefits.</w:t>
      </w:r>
    </w:p>
    <w:p w:rsidR="00F0221C" w:rsidRDefault="00F0221C" w:rsidP="00F0221C">
      <w:pPr>
        <w:pStyle w:val="P1"/>
      </w:pPr>
      <w:r>
        <w:fldChar w:fldCharType="begin"/>
      </w:r>
      <w:r>
        <w:instrText xml:space="preserve"> XE "para1:N1C9D9:[P1" </w:instrText>
      </w:r>
      <w:r>
        <w:fldChar w:fldCharType="end"/>
      </w:r>
      <w:r>
        <w:t>(2)</w:t>
      </w:r>
      <w:r>
        <w:tab/>
        <w:t>Income from a trade, business or gainful occupation other than an occupation at a wage or salary is calculated as—</w:t>
      </w:r>
    </w:p>
    <w:p w:rsidR="00F0221C" w:rsidRDefault="00F0221C" w:rsidP="00F0221C">
      <w:pPr>
        <w:pStyle w:val="P2"/>
      </w:pPr>
      <w:r>
        <w:fldChar w:fldCharType="begin"/>
      </w:r>
      <w:r>
        <w:instrText xml:space="preserve"> XE "para2:N1C9DF:[P2" </w:instrText>
      </w:r>
      <w:r>
        <w:fldChar w:fldCharType="end"/>
      </w:r>
      <w:r>
        <w:t>(a)</w:t>
      </w:r>
      <w:r>
        <w:tab/>
        <w:t>the profits which have accrued or will accrue to the party; and</w:t>
      </w:r>
    </w:p>
    <w:p w:rsidR="00F0221C" w:rsidRDefault="00F0221C" w:rsidP="00F0221C">
      <w:pPr>
        <w:pStyle w:val="P2"/>
      </w:pPr>
      <w:r>
        <w:fldChar w:fldCharType="begin"/>
      </w:r>
      <w:r>
        <w:instrText xml:space="preserve"> XE "para2:N1C9E5:[P2" </w:instrText>
      </w:r>
      <w:r>
        <w:fldChar w:fldCharType="end"/>
      </w:r>
      <w:r>
        <w:t>(b)</w:t>
      </w:r>
      <w:r>
        <w:tab/>
        <w:t>the drawings of the party;</w:t>
      </w:r>
    </w:p>
    <w:p w:rsidR="00F0221C" w:rsidRDefault="00F0221C" w:rsidP="00F0221C">
      <w:pPr>
        <w:pStyle w:val="C1"/>
      </w:pPr>
      <w:r>
        <w:fldChar w:fldCharType="begin"/>
      </w:r>
      <w:r>
        <w:instrText xml:space="preserve"> XE "para-continued1:N1C9EB:[C1" </w:instrText>
      </w:r>
      <w:r>
        <w:fldChar w:fldCharType="end"/>
      </w:r>
      <w:r>
        <w:t>in the month preceding that in which the application for remission is made.</w:t>
      </w:r>
    </w:p>
    <w:p w:rsidR="00F0221C" w:rsidRDefault="00F0221C" w:rsidP="00F0221C">
      <w:pPr>
        <w:pStyle w:val="P1"/>
      </w:pPr>
      <w:r>
        <w:fldChar w:fldCharType="begin"/>
      </w:r>
      <w:r>
        <w:instrText xml:space="preserve"> XE "para1:N1C9EF:[P1" </w:instrText>
      </w:r>
      <w:r>
        <w:fldChar w:fldCharType="end"/>
      </w:r>
      <w:r>
        <w:t>(3)</w:t>
      </w:r>
      <w:r>
        <w:tab/>
        <w:t>In calculating profits under sub-paragraph (2)(a), all sums necessarily expended to earn those profits are deducted.</w:t>
      </w:r>
    </w:p>
    <w:p w:rsidR="00F0221C" w:rsidRDefault="00F0221C" w:rsidP="00F0221C">
      <w:pPr>
        <w:pStyle w:val="HX"/>
      </w:pPr>
      <w:r>
        <w:fldChar w:fldCharType="begin"/>
      </w:r>
      <w:r>
        <w:instrText xml:space="preserve"> XE "title:N1C9F9:[HX" </w:instrText>
      </w:r>
      <w:r>
        <w:fldChar w:fldCharType="end"/>
      </w:r>
      <w:r>
        <w:t>General</w:t>
      </w:r>
    </w:p>
    <w:p w:rsidR="00F0221C" w:rsidRDefault="00F0221C" w:rsidP="00F0221C">
      <w:pPr>
        <w:pStyle w:val="PNAM"/>
      </w:pPr>
      <w:r>
        <w:fldChar w:fldCharType="begin"/>
      </w:r>
      <w:r>
        <w:instrText xml:space="preserve"> XE "provision:N1C9FC:[PNAM" </w:instrText>
      </w:r>
      <w:r>
        <w:fldChar w:fldCharType="end"/>
      </w:r>
      <w:r>
        <w:t>14 Resources and income treated as the party’s resources and income</w:t>
      </w:r>
    </w:p>
    <w:p w:rsidR="00F0221C" w:rsidRDefault="00F0221C" w:rsidP="00F0221C">
      <w:pPr>
        <w:pStyle w:val="P1"/>
      </w:pPr>
      <w:r>
        <w:lastRenderedPageBreak/>
        <w:fldChar w:fldCharType="begin"/>
      </w:r>
      <w:r>
        <w:instrText xml:space="preserve"> XE "para1:N1CA04:[P1" </w:instrText>
      </w:r>
      <w:r>
        <w:fldChar w:fldCharType="end"/>
      </w:r>
      <w:r>
        <w:t>(1)</w:t>
      </w:r>
      <w:r>
        <w:tab/>
        <w:t>Subject to sub-paragraph (2), the disposable capital and gross monthly income of a partner of a party is to be treated as disposable capital and gross monthly income of the party.</w:t>
      </w:r>
    </w:p>
    <w:p w:rsidR="00F0221C" w:rsidRDefault="00F0221C" w:rsidP="00F0221C">
      <w:pPr>
        <w:pStyle w:val="P1"/>
      </w:pPr>
      <w:r>
        <w:fldChar w:fldCharType="begin"/>
      </w:r>
      <w:r>
        <w:instrText xml:space="preserve"> XE "para1:N1CA0A:[P1" </w:instrText>
      </w:r>
      <w:r>
        <w:fldChar w:fldCharType="end"/>
      </w:r>
      <w:r>
        <w:t>(2)</w:t>
      </w:r>
      <w:r>
        <w:tab/>
        <w:t>Where the partner of a party has a contrary interest to the party in the matter to which the fee relates, the disposable capital and gross monthly income of that partner, if any, is not treated as the disposable capital and gross monthly income of the party.</w:t>
      </w:r>
    </w:p>
    <w:p w:rsidR="00F0221C" w:rsidRDefault="00F0221C" w:rsidP="00F0221C">
      <w:pPr>
        <w:pStyle w:val="PNAM"/>
      </w:pPr>
      <w:r>
        <w:fldChar w:fldCharType="begin"/>
      </w:r>
      <w:r>
        <w:instrText xml:space="preserve"> XE "provision:N1CA10:[PNAM" </w:instrText>
      </w:r>
      <w:r>
        <w:fldChar w:fldCharType="end"/>
      </w:r>
      <w:r>
        <w:t>15 Application for remission of a fee</w:t>
      </w:r>
    </w:p>
    <w:p w:rsidR="00F0221C" w:rsidRDefault="00F0221C" w:rsidP="00F0221C">
      <w:pPr>
        <w:pStyle w:val="P1"/>
      </w:pPr>
      <w:r>
        <w:fldChar w:fldCharType="begin"/>
      </w:r>
      <w:r>
        <w:instrText xml:space="preserve"> XE "para1:N1CA18:[P1" </w:instrText>
      </w:r>
      <w:r>
        <w:fldChar w:fldCharType="end"/>
      </w:r>
      <w:r>
        <w:t>(1)</w:t>
      </w:r>
      <w:r>
        <w:tab/>
        <w:t>An application for remission of a fee must be made at the time when the fee would otherwise be payable.</w:t>
      </w:r>
    </w:p>
    <w:p w:rsidR="00F0221C" w:rsidRDefault="00F0221C" w:rsidP="00F0221C">
      <w:pPr>
        <w:pStyle w:val="P1"/>
      </w:pPr>
      <w:r>
        <w:fldChar w:fldCharType="begin"/>
      </w:r>
      <w:r>
        <w:instrText xml:space="preserve"> XE "para1:N1CA1E:[P1" </w:instrText>
      </w:r>
      <w:r>
        <w:fldChar w:fldCharType="end"/>
      </w:r>
      <w:r>
        <w:t>(2)</w:t>
      </w:r>
      <w:r>
        <w:tab/>
        <w:t>Where an application for remission of a fee is made, the party must—</w:t>
      </w:r>
    </w:p>
    <w:p w:rsidR="00F0221C" w:rsidRDefault="00F0221C" w:rsidP="00F0221C">
      <w:pPr>
        <w:pStyle w:val="P2"/>
      </w:pPr>
      <w:r>
        <w:fldChar w:fldCharType="begin"/>
      </w:r>
      <w:r>
        <w:instrText xml:space="preserve"> XE "para2:N1CA24:[P2" </w:instrText>
      </w:r>
      <w:r>
        <w:fldChar w:fldCharType="end"/>
      </w:r>
      <w:r>
        <w:t>(a)</w:t>
      </w:r>
      <w:r>
        <w:tab/>
        <w:t>indicate the fee to which the application relates;</w:t>
      </w:r>
    </w:p>
    <w:p w:rsidR="00F0221C" w:rsidRDefault="00F0221C" w:rsidP="00F0221C">
      <w:pPr>
        <w:pStyle w:val="P2"/>
      </w:pPr>
      <w:r>
        <w:fldChar w:fldCharType="begin"/>
      </w:r>
      <w:r>
        <w:instrText xml:space="preserve"> XE "para2:N1CA2A:[P2" </w:instrText>
      </w:r>
      <w:r>
        <w:fldChar w:fldCharType="end"/>
      </w:r>
      <w:r>
        <w:t>(b)</w:t>
      </w:r>
      <w:r>
        <w:tab/>
        <w:t>declare the amount of their disposable capital; and</w:t>
      </w:r>
    </w:p>
    <w:p w:rsidR="00F0221C" w:rsidRDefault="00F0221C" w:rsidP="00F0221C">
      <w:pPr>
        <w:pStyle w:val="P2"/>
      </w:pPr>
      <w:r>
        <w:fldChar w:fldCharType="begin"/>
      </w:r>
      <w:r>
        <w:instrText xml:space="preserve"> XE "para2:N1CA30:[P2" </w:instrText>
      </w:r>
      <w:r>
        <w:fldChar w:fldCharType="end"/>
      </w:r>
      <w:r>
        <w:t>(c)</w:t>
      </w:r>
      <w:r>
        <w:tab/>
        <w:t>provide documentary evidence of their gross monthly income and the number of children relevant for the purposes of paragraphs 11 and 12.</w:t>
      </w:r>
    </w:p>
    <w:p w:rsidR="00F0221C" w:rsidRDefault="00F0221C" w:rsidP="00F0221C">
      <w:pPr>
        <w:pStyle w:val="P1"/>
      </w:pPr>
      <w:r>
        <w:fldChar w:fldCharType="begin"/>
      </w:r>
      <w:r>
        <w:instrText xml:space="preserve"> XE "para1:N1CA36:[P1" </w:instrText>
      </w:r>
      <w:r>
        <w:fldChar w:fldCharType="end"/>
      </w:r>
      <w:r>
        <w:t>(3)</w:t>
      </w:r>
      <w:r>
        <w:tab/>
        <w:t>Where an application for remission of a fee is made on or before the date on which a fee is payable, the date for payment of the fee is disapplied.</w:t>
      </w:r>
    </w:p>
    <w:p w:rsidR="00F0221C" w:rsidRDefault="00F0221C" w:rsidP="00F0221C">
      <w:pPr>
        <w:pStyle w:val="P1"/>
      </w:pPr>
      <w:r>
        <w:fldChar w:fldCharType="begin"/>
      </w:r>
      <w:r>
        <w:instrText xml:space="preserve"> XE "para1:N1CA3C:[P1" </w:instrText>
      </w:r>
      <w:r>
        <w:fldChar w:fldCharType="end"/>
      </w:r>
      <w:r>
        <w:t>(4)</w:t>
      </w:r>
      <w:r>
        <w:tab/>
        <w:t>Where an application for remission is refused, or if part remission of a fee is granted, the amount of the fee which remains unremitted must be paid within the period notified in writing to the party.</w:t>
      </w:r>
    </w:p>
    <w:p w:rsidR="00F0221C" w:rsidRDefault="00F0221C" w:rsidP="00F0221C">
      <w:pPr>
        <w:pStyle w:val="PNAM"/>
      </w:pPr>
      <w:r>
        <w:fldChar w:fldCharType="begin"/>
      </w:r>
      <w:r>
        <w:instrText xml:space="preserve"> XE "provision:N1CA42:[PNAM" </w:instrText>
      </w:r>
      <w:r>
        <w:fldChar w:fldCharType="end"/>
      </w:r>
      <w:r>
        <w:t>16 Remission in exceptional circumstances</w:t>
      </w:r>
    </w:p>
    <w:p w:rsidR="00F0221C" w:rsidRDefault="00F0221C" w:rsidP="00F0221C">
      <w:pPr>
        <w:pStyle w:val="P1"/>
      </w:pPr>
      <w:r>
        <w:fldChar w:fldCharType="begin"/>
      </w:r>
      <w:r>
        <w:instrText xml:space="preserve"> XE "para1:N1CA4A:[P1" </w:instrText>
      </w:r>
      <w:r>
        <w:fldChar w:fldCharType="end"/>
      </w:r>
      <w:r>
        <w:t>A fee specified in this Order may be remitted where the Lord Chancellor is satisfied that there are exceptional circumstances which justify doing so.</w:t>
      </w:r>
    </w:p>
    <w:p w:rsidR="00F0221C" w:rsidRDefault="00F0221C" w:rsidP="00F0221C">
      <w:pPr>
        <w:pStyle w:val="PNAM"/>
      </w:pPr>
      <w:r>
        <w:fldChar w:fldCharType="begin"/>
      </w:r>
      <w:r>
        <w:instrText xml:space="preserve"> XE "provision:N1CA4E:[PNAM" </w:instrText>
      </w:r>
      <w:r>
        <w:fldChar w:fldCharType="end"/>
      </w:r>
      <w:r>
        <w:t>17 Refunds</w:t>
      </w:r>
    </w:p>
    <w:p w:rsidR="00F0221C" w:rsidRDefault="00F0221C" w:rsidP="00F0221C">
      <w:pPr>
        <w:pStyle w:val="P1"/>
      </w:pPr>
      <w:r>
        <w:fldChar w:fldCharType="begin"/>
      </w:r>
      <w:r>
        <w:instrText xml:space="preserve"> XE "para1:N1CA56:[P1" </w:instrText>
      </w:r>
      <w:r>
        <w:fldChar w:fldCharType="end"/>
      </w:r>
      <w:r>
        <w:t>(1)</w:t>
      </w:r>
      <w:r>
        <w:tab/>
        <w:t>Subject to sub-paragraph (3), where a party pays a fee at a time when that party would have been entitled to a remission if they had provided the documentary evidence required by paragraph 15, the fee, or the amount by which the fee would have been reduced as the case may be, must be refunded if documentary evidence relating to the time when the fee became payable is provided at a later date.</w:t>
      </w:r>
    </w:p>
    <w:p w:rsidR="00F0221C" w:rsidRDefault="00F0221C" w:rsidP="00F0221C">
      <w:pPr>
        <w:pStyle w:val="P1"/>
      </w:pPr>
      <w:r>
        <w:fldChar w:fldCharType="begin"/>
      </w:r>
      <w:r>
        <w:instrText xml:space="preserve"> XE "para1:N1CA5C:[P1" </w:instrText>
      </w:r>
      <w:r>
        <w:fldChar w:fldCharType="end"/>
      </w:r>
      <w:r>
        <w:t>(2)</w:t>
      </w:r>
      <w:r>
        <w:tab/>
        <w:t>Subject to sub-paragraph (3), where a fee has been paid at a time when the Lord Chancellor, if all the circumstances had been known, would have remitted the fee under paragraph 15, the fee or the amount by which the fee would have been reduced, as the case may be, must be refunded to the party.</w:t>
      </w:r>
    </w:p>
    <w:p w:rsidR="00F0221C" w:rsidRDefault="00F0221C" w:rsidP="00F0221C">
      <w:pPr>
        <w:pStyle w:val="P1"/>
      </w:pPr>
      <w:r>
        <w:fldChar w:fldCharType="begin"/>
      </w:r>
      <w:r>
        <w:instrText xml:space="preserve"> XE "para1:N1CA62:[P1" </w:instrText>
      </w:r>
      <w:r>
        <w:fldChar w:fldCharType="end"/>
      </w:r>
      <w:r>
        <w:t>(3)</w:t>
      </w:r>
      <w:r>
        <w:tab/>
        <w:t>No refund shall be made under this paragraph unless the party who paid the fee applies within 3 months of the date on which the fee was paid.</w:t>
      </w:r>
    </w:p>
    <w:p w:rsidR="00F0221C" w:rsidRDefault="00F0221C" w:rsidP="00F0221C">
      <w:pPr>
        <w:pStyle w:val="P1"/>
      </w:pPr>
      <w:r>
        <w:fldChar w:fldCharType="begin"/>
      </w:r>
      <w:r>
        <w:instrText xml:space="preserve"> XE "para1:N1CA68:[P1" </w:instrText>
      </w:r>
      <w:r>
        <w:fldChar w:fldCharType="end"/>
      </w:r>
      <w:r>
        <w:t>(4)</w:t>
      </w:r>
      <w:r>
        <w:tab/>
        <w:t>The Lord Chancellor may extend the period of 3 months mentioned in sub-paragraph (3) if the Lord Chancellor considers that there is a good reason for a refund being made after the end of the period of 3 months.</w:t>
      </w:r>
    </w:p>
    <w:p w:rsidR="00F0221C" w:rsidRDefault="00F0221C" w:rsidP="00F0221C">
      <w:pPr>
        <w:pStyle w:val="PNAM"/>
      </w:pPr>
      <w:r>
        <w:fldChar w:fldCharType="begin"/>
      </w:r>
      <w:r>
        <w:instrText xml:space="preserve"> XE "provision:N1CA6E:[PNAM" </w:instrText>
      </w:r>
      <w:r>
        <w:fldChar w:fldCharType="end"/>
      </w:r>
      <w:r>
        <w:t>18 Legal Aid</w:t>
      </w:r>
    </w:p>
    <w:p w:rsidR="00F0221C" w:rsidRDefault="00F0221C" w:rsidP="00F0221C">
      <w:pPr>
        <w:pStyle w:val="P1"/>
      </w:pPr>
      <w:r>
        <w:fldChar w:fldCharType="begin"/>
      </w:r>
      <w:r>
        <w:instrText xml:space="preserve"> XE "para1:N1CA76:[P1" </w:instrText>
      </w:r>
      <w:r>
        <w:fldChar w:fldCharType="end"/>
      </w:r>
      <w:r>
        <w:t>A party is not entitled to a fee remission if, under Part 1 of the Legal Aid, Sentencing and Punishment of Offenders Act 2012, they are in receipt of the following civil legal services—</w:t>
      </w:r>
    </w:p>
    <w:p w:rsidR="00F0221C" w:rsidRDefault="00F0221C" w:rsidP="00F0221C">
      <w:pPr>
        <w:pStyle w:val="P2"/>
      </w:pPr>
      <w:r>
        <w:fldChar w:fldCharType="begin"/>
      </w:r>
      <w:r>
        <w:instrText xml:space="preserve"> XE "para2:N1CA7A:[P2" </w:instrText>
      </w:r>
      <w:r>
        <w:fldChar w:fldCharType="end"/>
      </w:r>
      <w:r>
        <w:t>(a)</w:t>
      </w:r>
      <w:r>
        <w:tab/>
        <w:t>Legal representation; or</w:t>
      </w:r>
    </w:p>
    <w:p w:rsidR="00F0221C" w:rsidRDefault="00F0221C" w:rsidP="00F0221C">
      <w:pPr>
        <w:pStyle w:val="P2"/>
      </w:pPr>
      <w:r>
        <w:fldChar w:fldCharType="begin"/>
      </w:r>
      <w:r>
        <w:instrText xml:space="preserve"> XE "para2:N1CA80:[P2" </w:instrText>
      </w:r>
      <w:r>
        <w:fldChar w:fldCharType="end"/>
      </w:r>
      <w:r>
        <w:t>(b)</w:t>
      </w:r>
      <w:r>
        <w:tab/>
        <w:t>Family help (higher); or</w:t>
      </w:r>
    </w:p>
    <w:p w:rsidR="00F0221C" w:rsidRDefault="00F0221C" w:rsidP="00F0221C">
      <w:pPr>
        <w:pStyle w:val="P2"/>
      </w:pPr>
      <w:r>
        <w:lastRenderedPageBreak/>
        <w:fldChar w:fldCharType="begin"/>
      </w:r>
      <w:r>
        <w:instrText xml:space="preserve"> XE "para2:N1CA86:[P2" </w:instrText>
      </w:r>
      <w:r>
        <w:fldChar w:fldCharType="end"/>
      </w:r>
      <w:r>
        <w:t>(c)</w:t>
      </w:r>
      <w:r>
        <w:tab/>
        <w:t>Family help (lower) in respect of applying for a consent order.</w:t>
      </w:r>
    </w:p>
    <w:p w:rsidR="00F0221C" w:rsidRDefault="00F0221C" w:rsidP="00F0221C">
      <w:pPr>
        <w:pStyle w:val="PNAM"/>
      </w:pPr>
      <w:r>
        <w:fldChar w:fldCharType="begin"/>
      </w:r>
      <w:r>
        <w:instrText xml:space="preserve"> XE "provision:N1CA8C:[PNAM" </w:instrText>
      </w:r>
      <w:r>
        <w:fldChar w:fldCharType="end"/>
      </w:r>
      <w:r>
        <w:t>19 Vexatious litigants</w:t>
      </w:r>
    </w:p>
    <w:p w:rsidR="00F0221C" w:rsidRDefault="00F0221C" w:rsidP="00F0221C">
      <w:pPr>
        <w:pStyle w:val="P1"/>
      </w:pPr>
      <w:r>
        <w:fldChar w:fldCharType="begin"/>
      </w:r>
      <w:r>
        <w:instrText xml:space="preserve"> XE "para1:N1CA94:[P1" </w:instrText>
      </w:r>
      <w:r>
        <w:fldChar w:fldCharType="end"/>
      </w:r>
      <w:r>
        <w:t>(1)</w:t>
      </w:r>
      <w:r>
        <w:tab/>
        <w:t>This paragraph applies where—</w:t>
      </w:r>
    </w:p>
    <w:p w:rsidR="00F0221C" w:rsidRDefault="00F0221C" w:rsidP="00F0221C">
      <w:pPr>
        <w:pStyle w:val="P2"/>
      </w:pPr>
      <w:r>
        <w:fldChar w:fldCharType="begin"/>
      </w:r>
      <w:r>
        <w:instrText xml:space="preserve"> XE "para2:N1CA9A:[P2" </w:instrText>
      </w:r>
      <w:r>
        <w:fldChar w:fldCharType="end"/>
      </w:r>
      <w:r>
        <w:t>(a)</w:t>
      </w:r>
      <w:r>
        <w:tab/>
        <w:t>a restraint order is in force against a party; and</w:t>
      </w:r>
    </w:p>
    <w:p w:rsidR="00F0221C" w:rsidRDefault="00F0221C" w:rsidP="00F0221C">
      <w:pPr>
        <w:pStyle w:val="P2"/>
      </w:pPr>
      <w:r>
        <w:fldChar w:fldCharType="begin"/>
      </w:r>
      <w:r>
        <w:instrText xml:space="preserve"> XE "para2:N1CAA0:[P2" </w:instrText>
      </w:r>
      <w:r>
        <w:fldChar w:fldCharType="end"/>
      </w:r>
      <w:r>
        <w:t>(b)</w:t>
      </w:r>
      <w:r>
        <w:tab/>
        <w:t>that party makes an application for permission to—</w:t>
      </w:r>
    </w:p>
    <w:p w:rsidR="00F0221C" w:rsidRDefault="00F0221C" w:rsidP="00F0221C">
      <w:pPr>
        <w:pStyle w:val="P3"/>
      </w:pPr>
      <w:r>
        <w:fldChar w:fldCharType="begin"/>
      </w:r>
      <w:r>
        <w:instrText xml:space="preserve"> XE "para3:N1CAA6:[P3" </w:instrText>
      </w:r>
      <w:r>
        <w:fldChar w:fldCharType="end"/>
      </w:r>
      <w:r>
        <w:t>(i)</w:t>
      </w:r>
      <w:r>
        <w:tab/>
        <w:t>issue proceedings or take a step in proceedings as required by the restraint order;</w:t>
      </w:r>
    </w:p>
    <w:p w:rsidR="00F0221C" w:rsidRDefault="00F0221C" w:rsidP="00F0221C">
      <w:pPr>
        <w:pStyle w:val="P3"/>
      </w:pPr>
      <w:r>
        <w:fldChar w:fldCharType="begin"/>
      </w:r>
      <w:r>
        <w:instrText xml:space="preserve"> XE "para3:N1CAAC:[P3" </w:instrText>
      </w:r>
      <w:r>
        <w:fldChar w:fldCharType="end"/>
      </w:r>
      <w:r>
        <w:t>(ii)</w:t>
      </w:r>
      <w:r>
        <w:tab/>
        <w:t>apply for amendment or discharge of the order; or</w:t>
      </w:r>
    </w:p>
    <w:p w:rsidR="00F0221C" w:rsidRDefault="00F0221C" w:rsidP="00F0221C">
      <w:pPr>
        <w:pStyle w:val="P3"/>
      </w:pPr>
      <w:r>
        <w:fldChar w:fldCharType="begin"/>
      </w:r>
      <w:r>
        <w:instrText xml:space="preserve"> XE "para3:N1CAB2:[P3" </w:instrText>
      </w:r>
      <w:r>
        <w:fldChar w:fldCharType="end"/>
      </w:r>
      <w:r>
        <w:t>(iii)</w:t>
      </w:r>
      <w:r>
        <w:tab/>
        <w:t>appeal the order.</w:t>
      </w:r>
    </w:p>
    <w:p w:rsidR="00F0221C" w:rsidRDefault="00F0221C" w:rsidP="00F0221C">
      <w:pPr>
        <w:pStyle w:val="P1"/>
      </w:pPr>
      <w:r>
        <w:fldChar w:fldCharType="begin"/>
      </w:r>
      <w:r>
        <w:instrText xml:space="preserve"> XE "para1:N1CAB8:[P1" </w:instrText>
      </w:r>
      <w:r>
        <w:fldChar w:fldCharType="end"/>
      </w:r>
      <w:r>
        <w:t>(2)</w:t>
      </w:r>
      <w:r>
        <w:tab/>
        <w:t>The fee prescribed by this Order for the application is payable in full.</w:t>
      </w:r>
    </w:p>
    <w:p w:rsidR="00F0221C" w:rsidRDefault="00F0221C" w:rsidP="00F0221C">
      <w:pPr>
        <w:pStyle w:val="P1"/>
      </w:pPr>
      <w:r>
        <w:fldChar w:fldCharType="begin"/>
      </w:r>
      <w:r>
        <w:instrText xml:space="preserve"> XE "para1:N1CABE:[P1" </w:instrText>
      </w:r>
      <w:r>
        <w:fldChar w:fldCharType="end"/>
      </w:r>
      <w:r>
        <w:t>(3)</w:t>
      </w:r>
      <w:r>
        <w:tab/>
        <w:t>If the party is granted permission, they are to be refunded the difference between—</w:t>
      </w:r>
    </w:p>
    <w:p w:rsidR="00F0221C" w:rsidRDefault="00F0221C" w:rsidP="00F0221C">
      <w:pPr>
        <w:pStyle w:val="P2"/>
      </w:pPr>
      <w:r>
        <w:fldChar w:fldCharType="begin"/>
      </w:r>
      <w:r>
        <w:instrText xml:space="preserve"> XE "para2:N1CAC4:[P2" </w:instrText>
      </w:r>
      <w:r>
        <w:fldChar w:fldCharType="end"/>
      </w:r>
      <w:r>
        <w:t>(a)</w:t>
      </w:r>
      <w:r>
        <w:tab/>
        <w:t>the fee paid; and</w:t>
      </w:r>
    </w:p>
    <w:p w:rsidR="00F0221C" w:rsidRDefault="00F0221C" w:rsidP="00F0221C">
      <w:pPr>
        <w:pStyle w:val="P2"/>
      </w:pPr>
      <w:r>
        <w:fldChar w:fldCharType="begin"/>
      </w:r>
      <w:r>
        <w:instrText xml:space="preserve"> XE "para2:N1CACA:[P2" </w:instrText>
      </w:r>
      <w:r>
        <w:fldChar w:fldCharType="end"/>
      </w:r>
      <w:r>
        <w:t>(b)</w:t>
      </w:r>
      <w:r>
        <w:tab/>
        <w:t>the fee that would have been payable if this Schedule had been applied without reference to this paragraph.</w:t>
      </w:r>
    </w:p>
    <w:p w:rsidR="00F0221C" w:rsidRDefault="00F0221C" w:rsidP="00F0221C">
      <w:pPr>
        <w:pStyle w:val="PNAM"/>
      </w:pPr>
      <w:r>
        <w:fldChar w:fldCharType="begin"/>
      </w:r>
      <w:r>
        <w:instrText xml:space="preserve"> XE "provision:N1CAD0:[PNAM" </w:instrText>
      </w:r>
      <w:r>
        <w:fldChar w:fldCharType="end"/>
      </w:r>
      <w:r>
        <w:t>20 Exceptions</w:t>
      </w:r>
    </w:p>
    <w:p w:rsidR="00F0221C" w:rsidRDefault="00F0221C" w:rsidP="00F0221C">
      <w:pPr>
        <w:pStyle w:val="P1"/>
      </w:pPr>
      <w:r>
        <w:fldChar w:fldCharType="begin"/>
      </w:r>
      <w:r>
        <w:instrText xml:space="preserve"> XE "para1:N1CAD8:[P1" </w:instrText>
      </w:r>
      <w:r>
        <w:fldChar w:fldCharType="end"/>
      </w:r>
      <w:r>
        <w:t>No remissions or refunds are available in respect of the fee payable for—</w:t>
      </w:r>
    </w:p>
    <w:p w:rsidR="00F0221C" w:rsidRDefault="00F0221C" w:rsidP="00F0221C">
      <w:pPr>
        <w:pStyle w:val="P2"/>
      </w:pPr>
      <w:r>
        <w:fldChar w:fldCharType="begin"/>
      </w:r>
      <w:r>
        <w:instrText xml:space="preserve"> XE "para2:N1CADC:[P2" </w:instrText>
      </w:r>
      <w:r>
        <w:fldChar w:fldCharType="end"/>
      </w:r>
      <w:r>
        <w:t>(a)</w:t>
      </w:r>
      <w:r>
        <w:tab/>
        <w:t>copy or duplicate documents;</w:t>
      </w:r>
    </w:p>
    <w:p w:rsidR="00F0221C" w:rsidRDefault="00F0221C" w:rsidP="00F0221C">
      <w:pPr>
        <w:pStyle w:val="P2"/>
      </w:pPr>
      <w:r>
        <w:fldChar w:fldCharType="begin"/>
      </w:r>
      <w:r>
        <w:instrText xml:space="preserve"> XE "para2:N1CAE2:[P2" </w:instrText>
      </w:r>
      <w:r>
        <w:fldChar w:fldCharType="end"/>
      </w:r>
      <w:r>
        <w:t>(b)</w:t>
      </w:r>
      <w:r>
        <w:tab/>
        <w:t>searches.]</w:t>
      </w:r>
      <w:r>
        <w:rPr>
          <w:rStyle w:val="endnoteid"/>
        </w:rPr>
        <w:t>1</w:t>
      </w:r>
      <w:r>
        <w:t xml:space="preserve"> </w:t>
      </w:r>
    </w:p>
    <w:p w:rsidR="00F0221C" w:rsidRDefault="00F0221C" w:rsidP="00F0221C">
      <w:pPr>
        <w:pStyle w:val="CommentB"/>
      </w:pPr>
      <w:r>
        <w:fldChar w:fldCharType="begin"/>
      </w:r>
      <w:r>
        <w:instrText xml:space="preserve"> XE "comment:N1CAEA" </w:instrText>
      </w:r>
      <w:r>
        <w:fldChar w:fldCharType="end"/>
      </w:r>
      <w:r>
        <w:t>#CommentB</w:t>
      </w:r>
    </w:p>
    <w:p w:rsidR="00F0221C" w:rsidRDefault="00F0221C" w:rsidP="00F0221C">
      <w:pPr>
        <w:pStyle w:val="n-GenericHead"/>
      </w:pPr>
      <w:r>
        <w:rPr>
          <w:b/>
          <w:bCs/>
        </w:rPr>
        <w:fldChar w:fldCharType="begin"/>
      </w:r>
      <w:r>
        <w:rPr>
          <w:b/>
          <w:bCs/>
        </w:rPr>
        <w:instrText xml:space="preserve"> XE "generic-hd:N1CAEE:n-GenericHead" </w:instrText>
      </w:r>
      <w:r>
        <w:rPr>
          <w:b/>
          <w:bCs/>
        </w:rPr>
        <w:fldChar w:fldCharType="end"/>
      </w:r>
      <w:r>
        <w:rPr>
          <w:b/>
          <w:bCs/>
        </w:rPr>
        <w:t>Amendments—</w:t>
      </w:r>
      <w:r>
        <w:t xml:space="preserve"> </w:t>
      </w:r>
    </w:p>
    <w:p w:rsidR="00F0221C" w:rsidRDefault="00F0221C" w:rsidP="00F0221C">
      <w:pPr>
        <w:pStyle w:val="EndnotesB"/>
      </w:pPr>
      <w:r>
        <w:fldChar w:fldCharType="begin"/>
      </w:r>
      <w:r>
        <w:instrText xml:space="preserve"> XE "endnotes:N1CAF1:EndnotesB" </w:instrText>
      </w:r>
      <w:r>
        <w:fldChar w:fldCharType="end"/>
      </w:r>
      <w:r>
        <w:t>#EndnotesB</w:t>
      </w:r>
    </w:p>
    <w:p w:rsidR="00F0221C" w:rsidRDefault="00F0221C" w:rsidP="00F0221C">
      <w:pPr>
        <w:pStyle w:val="n-List1"/>
      </w:pPr>
      <w:r>
        <w:fldChar w:fldCharType="begin"/>
      </w:r>
      <w:r>
        <w:instrText xml:space="preserve"> XE "para:N1CAF4:n-List1" </w:instrText>
      </w:r>
      <w:r>
        <w:fldChar w:fldCharType="end"/>
      </w:r>
      <w:r>
        <w:t>1</w:t>
      </w:r>
      <w:r>
        <w:tab/>
        <w:t>Schedule 2 inserted by the Courts and Tribunals Fee Remissions Order, SI 2013/2302 art 9(1), (6), Schedule with effect from 7 October 2013.</w:t>
      </w:r>
    </w:p>
    <w:p w:rsidR="00F0221C" w:rsidRDefault="00F0221C" w:rsidP="00F0221C">
      <w:pPr>
        <w:pStyle w:val="EndnotesE"/>
      </w:pPr>
      <w:r>
        <w:fldChar w:fldCharType="begin"/>
      </w:r>
      <w:r>
        <w:instrText xml:space="preserve"> XE "endnotes:N1CAF1:EndnotesE" </w:instrText>
      </w:r>
      <w:r>
        <w:fldChar w:fldCharType="end"/>
      </w:r>
      <w:r>
        <w:t>#EndnotesE</w:t>
      </w:r>
    </w:p>
    <w:p w:rsidR="00F0221C" w:rsidRDefault="00F0221C" w:rsidP="00F0221C">
      <w:pPr>
        <w:pStyle w:val="CommentE"/>
      </w:pPr>
      <w:r>
        <w:fldChar w:fldCharType="begin"/>
      </w:r>
      <w:r>
        <w:instrText xml:space="preserve"> XE "comment:N1CAEA" </w:instrText>
      </w:r>
      <w:r>
        <w:fldChar w:fldCharType="end"/>
      </w:r>
      <w:r>
        <w:t>#CommentE</w:t>
      </w:r>
    </w:p>
    <w:p w:rsidR="00745DC2" w:rsidRDefault="00F0221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C"/>
    <w:rsid w:val="006A35F9"/>
    <w:rsid w:val="00C7342F"/>
    <w:rsid w:val="00F0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0221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F0221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F0221C"/>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F0221C"/>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0221C"/>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F0221C"/>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F0221C"/>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F0221C"/>
    <w:rPr>
      <w:rFonts w:ascii="Arial Bold" w:eastAsia="Times New Roman" w:hAnsi="Arial Bold" w:cs="Times New Roman"/>
      <w:b/>
      <w:sz w:val="20"/>
      <w:szCs w:val="20"/>
      <w:shd w:val="pct10" w:color="auto" w:fill="FFFFFF"/>
    </w:rPr>
  </w:style>
  <w:style w:type="paragraph" w:customStyle="1" w:styleId="n-ForAuthor">
    <w:name w:val="n-ForAuthor"/>
    <w:autoRedefine/>
    <w:rsid w:val="00F0221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F0221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F0221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F0221C"/>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F0221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F0221C"/>
    <w:rPr>
      <w:color w:val="008080"/>
    </w:rPr>
  </w:style>
  <w:style w:type="paragraph" w:customStyle="1" w:styleId="n-PartTitle">
    <w:name w:val="n-PartTitle"/>
    <w:rsid w:val="00F0221C"/>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F0221C"/>
    <w:rPr>
      <w:color w:val="3366FF"/>
    </w:rPr>
  </w:style>
  <w:style w:type="paragraph" w:customStyle="1" w:styleId="n-PartNumber2">
    <w:name w:val="n-PartNumber2"/>
    <w:basedOn w:val="n-PartNumber"/>
    <w:rsid w:val="00F0221C"/>
    <w:rPr>
      <w:color w:val="3366FF"/>
    </w:rPr>
  </w:style>
  <w:style w:type="paragraph" w:customStyle="1" w:styleId="n-PartTitle3">
    <w:name w:val="n-PartTitle3"/>
    <w:basedOn w:val="n-PartTitle2"/>
    <w:rsid w:val="00F0221C"/>
    <w:rPr>
      <w:color w:val="008080"/>
    </w:rPr>
  </w:style>
  <w:style w:type="paragraph" w:customStyle="1" w:styleId="n-ChapNumber">
    <w:name w:val="n-ChapNumber"/>
    <w:rsid w:val="00F0221C"/>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F0221C"/>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F0221C"/>
  </w:style>
  <w:style w:type="paragraph" w:customStyle="1" w:styleId="n-Head1">
    <w:name w:val="n-Head1"/>
    <w:rsid w:val="00F0221C"/>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F0221C"/>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F0221C"/>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F0221C"/>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F0221C"/>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F0221C"/>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F0221C"/>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F0221C"/>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F0221C"/>
    <w:rPr>
      <w:b w:val="0"/>
    </w:rPr>
  </w:style>
  <w:style w:type="paragraph" w:customStyle="1" w:styleId="n-SectionHead1">
    <w:name w:val="n-SectionHead1"/>
    <w:basedOn w:val="n-Head1"/>
    <w:next w:val="n-Para"/>
    <w:rsid w:val="00F0221C"/>
  </w:style>
  <w:style w:type="paragraph" w:customStyle="1" w:styleId="n-SectionHead2">
    <w:name w:val="n-SectionHead2"/>
    <w:basedOn w:val="n-Head2"/>
    <w:next w:val="n-Para"/>
    <w:rsid w:val="00F0221C"/>
  </w:style>
  <w:style w:type="paragraph" w:customStyle="1" w:styleId="n-SectionHead3">
    <w:name w:val="n-SectionHead3"/>
    <w:basedOn w:val="n-Head3"/>
    <w:next w:val="n-Para"/>
    <w:rsid w:val="00F0221C"/>
  </w:style>
  <w:style w:type="paragraph" w:customStyle="1" w:styleId="n-SectionHead4">
    <w:name w:val="n-SectionHead4"/>
    <w:basedOn w:val="n-Head4"/>
    <w:next w:val="n-Para"/>
    <w:rsid w:val="00F0221C"/>
  </w:style>
  <w:style w:type="paragraph" w:customStyle="1" w:styleId="n-SectionHead5">
    <w:name w:val="n-SectionHead5"/>
    <w:basedOn w:val="n-Head5"/>
    <w:next w:val="n-Para"/>
    <w:rsid w:val="00F0221C"/>
  </w:style>
  <w:style w:type="paragraph" w:customStyle="1" w:styleId="n-Appendices">
    <w:name w:val="n-Appendices"/>
    <w:basedOn w:val="n-Head1"/>
    <w:autoRedefine/>
    <w:rsid w:val="00F0221C"/>
  </w:style>
  <w:style w:type="paragraph" w:customStyle="1" w:styleId="AppendixPubB">
    <w:name w:val="#AppendixPub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F0221C"/>
    <w:rPr>
      <w:rFonts w:ascii="Arial Bold" w:hAnsi="Arial Bold"/>
    </w:rPr>
  </w:style>
  <w:style w:type="paragraph" w:customStyle="1" w:styleId="n-AppDivTitle">
    <w:name w:val="n-AppDivTitle"/>
    <w:basedOn w:val="n-AppPubTitle"/>
    <w:autoRedefine/>
    <w:rsid w:val="00F0221C"/>
    <w:rPr>
      <w:rFonts w:ascii="Arial" w:hAnsi="Arial"/>
      <w:b w:val="0"/>
    </w:rPr>
  </w:style>
  <w:style w:type="paragraph" w:customStyle="1" w:styleId="n-AppPartTitle">
    <w:name w:val="n-AppPartTitle"/>
    <w:basedOn w:val="n-AppDivTitle"/>
    <w:autoRedefine/>
    <w:rsid w:val="00F0221C"/>
    <w:rPr>
      <w:rFonts w:ascii="Arial Bold" w:hAnsi="Arial Bold"/>
      <w:b/>
      <w:sz w:val="32"/>
    </w:rPr>
  </w:style>
  <w:style w:type="paragraph" w:customStyle="1" w:styleId="n-AppChapTitle">
    <w:name w:val="n-AppChapTitle"/>
    <w:basedOn w:val="n-AppDivTitle"/>
    <w:autoRedefine/>
    <w:rsid w:val="00F0221C"/>
    <w:rPr>
      <w:i/>
      <w:sz w:val="32"/>
    </w:rPr>
  </w:style>
  <w:style w:type="paragraph" w:customStyle="1" w:styleId="n-SubTitle">
    <w:name w:val="n-SubTitle"/>
    <w:autoRedefine/>
    <w:rsid w:val="00F0221C"/>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F0221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F0221C"/>
    <w:rPr>
      <w:sz w:val="24"/>
    </w:rPr>
  </w:style>
  <w:style w:type="paragraph" w:customStyle="1" w:styleId="TOCB">
    <w:name w:val="#TOCB"/>
    <w:autoRedefine/>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F0221C"/>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F0221C"/>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F0221C"/>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F0221C"/>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F0221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F0221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F0221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F0221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F0221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F0221C"/>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F0221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F0221C"/>
    <w:pPr>
      <w:spacing w:before="120"/>
      <w:ind w:left="1418" w:firstLine="0"/>
    </w:pPr>
  </w:style>
  <w:style w:type="paragraph" w:customStyle="1" w:styleId="n-Quote2List2">
    <w:name w:val="n-Quote2List2"/>
    <w:basedOn w:val="n-Quote2List1"/>
    <w:autoRedefine/>
    <w:rsid w:val="00F0221C"/>
    <w:pPr>
      <w:ind w:left="1985"/>
    </w:pPr>
    <w:rPr>
      <w:szCs w:val="22"/>
    </w:rPr>
  </w:style>
  <w:style w:type="paragraph" w:customStyle="1" w:styleId="n-Quote2List2NextPara">
    <w:name w:val="n-Quote2List2NextPara"/>
    <w:autoRedefine/>
    <w:rsid w:val="00F0221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F0221C"/>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F0221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F0221C"/>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F0221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F0221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F0221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F0221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F0221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F0221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F0221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F0221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F0221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F0221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F0221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F0221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F0221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F0221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F0221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F0221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F0221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F0221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F0221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F0221C"/>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F0221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F0221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F0221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F0221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F0221C"/>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F0221C"/>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F0221C"/>
  </w:style>
  <w:style w:type="paragraph" w:customStyle="1" w:styleId="AddressB">
    <w:name w:val="#AddressB"/>
    <w:basedOn w:val="ExampleB"/>
    <w:autoRedefine/>
    <w:rsid w:val="00F0221C"/>
    <w:pPr>
      <w:shd w:val="clear" w:color="auto" w:fill="FFCC00"/>
    </w:pPr>
  </w:style>
  <w:style w:type="paragraph" w:customStyle="1" w:styleId="AddressE">
    <w:name w:val="#AddressE"/>
    <w:basedOn w:val="AddressB"/>
    <w:autoRedefine/>
    <w:rsid w:val="00F0221C"/>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F0221C"/>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F0221C"/>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F0221C"/>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F0221C"/>
    <w:pPr>
      <w:shd w:val="clear" w:color="auto" w:fill="99CC00"/>
    </w:pPr>
  </w:style>
  <w:style w:type="paragraph" w:customStyle="1" w:styleId="ScopeE">
    <w:name w:val="#ScopeE"/>
    <w:basedOn w:val="ScopeB"/>
    <w:autoRedefine/>
    <w:rsid w:val="00F0221C"/>
  </w:style>
  <w:style w:type="paragraph" w:customStyle="1" w:styleId="TableB">
    <w:name w:val="#Table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F0221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F0221C"/>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F0221C"/>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F0221C"/>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F0221C"/>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F0221C"/>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F0221C"/>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0221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F0221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F0221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F0221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F0221C"/>
  </w:style>
  <w:style w:type="paragraph" w:customStyle="1" w:styleId="c-LegislationReferredTo">
    <w:name w:val="c-LegislationReferredTo"/>
    <w:basedOn w:val="c-CompaniesReferredTo"/>
    <w:autoRedefine/>
    <w:rsid w:val="00F0221C"/>
  </w:style>
  <w:style w:type="paragraph" w:customStyle="1" w:styleId="c-CaseName">
    <w:name w:val="c-CaseName"/>
    <w:rsid w:val="00F0221C"/>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F0221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F0221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F0221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F0221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F0221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F0221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F0221C"/>
  </w:style>
  <w:style w:type="paragraph" w:customStyle="1" w:styleId="c-DigestReporter">
    <w:name w:val="c-DigestReporter"/>
    <w:basedOn w:val="c-CourtReporter"/>
    <w:autoRedefine/>
    <w:rsid w:val="00F0221C"/>
    <w:rPr>
      <w:i/>
    </w:rPr>
  </w:style>
  <w:style w:type="paragraph" w:customStyle="1" w:styleId="c-Copyright">
    <w:name w:val="c-Copyright"/>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F0221C"/>
  </w:style>
  <w:style w:type="paragraph" w:customStyle="1" w:styleId="c-JudgmentReserved">
    <w:name w:val="c-JudgmentReserved"/>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F0221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F0221C"/>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F0221C"/>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F0221C"/>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F0221C"/>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F0221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0221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0221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0221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F0221C"/>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F0221C"/>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F0221C"/>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F0221C"/>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F0221C"/>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F0221C"/>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F0221C"/>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F0221C"/>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F0221C"/>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F0221C"/>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F0221C"/>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F0221C"/>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F0221C"/>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F0221C"/>
    <w:pPr>
      <w:spacing w:before="240" w:after="0" w:line="240" w:lineRule="auto"/>
    </w:pPr>
    <w:rPr>
      <w:rFonts w:ascii="Arial" w:eastAsia="Times New Roman" w:hAnsi="Arial" w:cs="Times New Roman"/>
      <w:i/>
      <w:sz w:val="20"/>
      <w:szCs w:val="20"/>
      <w:lang w:eastAsia="en-GB"/>
    </w:rPr>
  </w:style>
  <w:style w:type="paragraph" w:customStyle="1" w:styleId="ENAF">
    <w:name w:val="[ENAF"/>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F0221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F0221C"/>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F0221C"/>
    <w:pPr>
      <w:spacing w:before="100" w:beforeAutospacing="1" w:after="100" w:afterAutospacing="1"/>
    </w:pPr>
  </w:style>
  <w:style w:type="paragraph" w:customStyle="1" w:styleId="H1">
    <w:name w:val="[H1"/>
    <w:rsid w:val="00F0221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F0221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F0221C"/>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F0221C"/>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F0221C"/>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F0221C"/>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F0221C"/>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F0221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F0221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F0221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0221C"/>
    <w:pPr>
      <w:spacing w:before="240" w:after="0" w:line="240" w:lineRule="auto"/>
    </w:pPr>
    <w:rPr>
      <w:rFonts w:ascii="Arial" w:eastAsia="Times New Roman" w:hAnsi="Arial" w:cs="Times New Roman"/>
      <w:sz w:val="20"/>
      <w:szCs w:val="20"/>
      <w:lang w:eastAsia="en-GB"/>
    </w:rPr>
  </w:style>
  <w:style w:type="paragraph" w:customStyle="1" w:styleId="P2">
    <w:name w:val="[P2"/>
    <w:rsid w:val="00F0221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0221C"/>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F0221C"/>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F0221C"/>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F0221C"/>
    <w:pPr>
      <w:ind w:left="3402"/>
    </w:pPr>
  </w:style>
  <w:style w:type="paragraph" w:customStyle="1" w:styleId="C1">
    <w:name w:val="[C1"/>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F0221C"/>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F0221C"/>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F0221C"/>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F0221C"/>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F0221C"/>
    <w:pPr>
      <w:ind w:left="2835"/>
    </w:pPr>
  </w:style>
  <w:style w:type="paragraph" w:customStyle="1" w:styleId="X1">
    <w:name w:val="[X1"/>
    <w:rsid w:val="00F0221C"/>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F0221C"/>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F0221C"/>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F0221C"/>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F0221C"/>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F0221C"/>
    <w:pPr>
      <w:ind w:left="3402" w:firstLine="284"/>
    </w:pPr>
  </w:style>
  <w:style w:type="paragraph" w:customStyle="1" w:styleId="ISOB">
    <w:name w:val="[ISO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F0221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F0221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F0221C"/>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F0221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F0221C"/>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F0221C"/>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F0221C"/>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F0221C"/>
    <w:pPr>
      <w:spacing w:before="100" w:beforeAutospacing="1" w:after="100" w:afterAutospacing="1"/>
    </w:pPr>
  </w:style>
  <w:style w:type="paragraph" w:customStyle="1" w:styleId="p-Subject">
    <w:name w:val="p-Subject"/>
    <w:basedOn w:val="p-Para"/>
    <w:rsid w:val="00F0221C"/>
  </w:style>
  <w:style w:type="paragraph" w:customStyle="1" w:styleId="p-Salutation">
    <w:name w:val="p-Salutation"/>
    <w:basedOn w:val="n-Para"/>
    <w:rsid w:val="00F0221C"/>
  </w:style>
  <w:style w:type="paragraph" w:customStyle="1" w:styleId="p-PrecTitle">
    <w:name w:val="p-PrecTitle"/>
    <w:rsid w:val="00F0221C"/>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F0221C"/>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F0221C"/>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F0221C"/>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F0221C"/>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F0221C"/>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F0221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F0221C"/>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F0221C"/>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F0221C"/>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F0221C"/>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F0221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F0221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F0221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F0221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F0221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F0221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F0221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F0221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F0221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F0221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F0221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F0221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F0221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F0221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F0221C"/>
    <w:rPr>
      <w:rFonts w:ascii="Arial Bold" w:hAnsi="Arial Bold"/>
      <w:b/>
    </w:rPr>
  </w:style>
  <w:style w:type="paragraph" w:customStyle="1" w:styleId="p-Clause2Head">
    <w:name w:val="p-Clause2Head"/>
    <w:basedOn w:val="p-Clause2"/>
    <w:autoRedefine/>
    <w:rsid w:val="00F0221C"/>
    <w:rPr>
      <w:rFonts w:ascii="Arial Bold" w:hAnsi="Arial Bold"/>
      <w:b/>
    </w:rPr>
  </w:style>
  <w:style w:type="paragraph" w:customStyle="1" w:styleId="p-Clause3Head">
    <w:name w:val="p-Clause3Head"/>
    <w:basedOn w:val="p-Clause3"/>
    <w:autoRedefine/>
    <w:rsid w:val="00F0221C"/>
    <w:rPr>
      <w:rFonts w:ascii="Arial Bold" w:hAnsi="Arial Bold"/>
      <w:b/>
    </w:rPr>
  </w:style>
  <w:style w:type="paragraph" w:customStyle="1" w:styleId="p-Clause4Head">
    <w:name w:val="p-Clause4Head"/>
    <w:basedOn w:val="p-Clause4"/>
    <w:autoRedefine/>
    <w:rsid w:val="00F0221C"/>
    <w:rPr>
      <w:rFonts w:ascii="Arial Bold" w:hAnsi="Arial Bold"/>
      <w:b/>
    </w:rPr>
  </w:style>
  <w:style w:type="paragraph" w:customStyle="1" w:styleId="p-Clause5Head">
    <w:name w:val="p-Clause5Head"/>
    <w:basedOn w:val="p-Clause5"/>
    <w:autoRedefine/>
    <w:rsid w:val="00F0221C"/>
    <w:rPr>
      <w:rFonts w:ascii="Arial Bold" w:hAnsi="Arial Bold"/>
      <w:b/>
    </w:rPr>
  </w:style>
  <w:style w:type="paragraph" w:customStyle="1" w:styleId="p-Clause6Head">
    <w:name w:val="p-Clause6Head"/>
    <w:basedOn w:val="p-Clause6"/>
    <w:next w:val="p-Clause6NextPara"/>
    <w:autoRedefine/>
    <w:rsid w:val="00F0221C"/>
    <w:rPr>
      <w:rFonts w:ascii="Arial Bold" w:hAnsi="Arial Bold"/>
      <w:b/>
    </w:rPr>
  </w:style>
  <w:style w:type="paragraph" w:customStyle="1" w:styleId="p-Clause7Head">
    <w:name w:val="p-Clause7Head"/>
    <w:basedOn w:val="p-Clause7"/>
    <w:autoRedefine/>
    <w:rsid w:val="00F0221C"/>
    <w:rPr>
      <w:rFonts w:ascii="Arial Bold" w:hAnsi="Arial Bold"/>
      <w:b/>
    </w:rPr>
  </w:style>
  <w:style w:type="paragraph" w:customStyle="1" w:styleId="p-Para">
    <w:name w:val="p-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F0221C"/>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F0221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F0221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F0221C"/>
    <w:pPr>
      <w:spacing w:before="120"/>
    </w:pPr>
  </w:style>
  <w:style w:type="character" w:customStyle="1" w:styleId="FootnoteTextChar">
    <w:name w:val="Footnote Text Char"/>
    <w:basedOn w:val="DefaultParagraphFont"/>
    <w:link w:val="FootnoteText"/>
    <w:rsid w:val="00F0221C"/>
    <w:rPr>
      <w:rFonts w:ascii="Arial" w:eastAsia="Times New Roman" w:hAnsi="Arial" w:cs="Times New Roman"/>
      <w:sz w:val="20"/>
      <w:szCs w:val="20"/>
    </w:rPr>
  </w:style>
  <w:style w:type="paragraph" w:customStyle="1" w:styleId="n-ParaNumber2">
    <w:name w:val="n-ParaNumber2"/>
    <w:rsid w:val="00F0221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F0221C"/>
    <w:rPr>
      <w:iCs/>
      <w:noProof w:val="0"/>
      <w:color w:val="0000FF"/>
      <w:bdr w:val="none" w:sz="0" w:space="0" w:color="auto"/>
      <w:shd w:val="clear" w:color="auto" w:fill="auto"/>
      <w:lang w:val="en-GB"/>
    </w:rPr>
  </w:style>
  <w:style w:type="character" w:customStyle="1" w:styleId="xref">
    <w:name w:val="*xref"/>
    <w:rsid w:val="00F0221C"/>
    <w:rPr>
      <w:b/>
      <w:bCs/>
      <w:smallCaps/>
      <w:noProof w:val="0"/>
      <w:color w:val="0000FF"/>
      <w:bdr w:val="none" w:sz="0" w:space="0" w:color="auto"/>
      <w:shd w:val="clear" w:color="auto" w:fill="auto"/>
      <w:lang w:val="en-GB"/>
    </w:rPr>
  </w:style>
  <w:style w:type="character" w:customStyle="1" w:styleId="chapter-ref">
    <w:name w:val="*chapter-ref"/>
    <w:rsid w:val="00F0221C"/>
    <w:rPr>
      <w:color w:val="0000FF"/>
    </w:rPr>
  </w:style>
  <w:style w:type="character" w:customStyle="1" w:styleId="citation">
    <w:name w:val="*citation"/>
    <w:basedOn w:val="DefaultParagraphFont"/>
    <w:rsid w:val="00F0221C"/>
  </w:style>
  <w:style w:type="character" w:customStyle="1" w:styleId="inlinequote">
    <w:name w:val="*inlinequote"/>
    <w:rsid w:val="00F0221C"/>
    <w:rPr>
      <w:noProof w:val="0"/>
      <w:color w:val="008000"/>
      <w:bdr w:val="none" w:sz="0" w:space="0" w:color="auto"/>
      <w:shd w:val="clear" w:color="auto" w:fill="auto"/>
      <w:lang w:val="en-GB"/>
    </w:rPr>
  </w:style>
  <w:style w:type="character" w:customStyle="1" w:styleId="postcode">
    <w:name w:val="*postcode"/>
    <w:rsid w:val="00F0221C"/>
    <w:rPr>
      <w:noProof w:val="0"/>
      <w:color w:val="FF9900"/>
      <w:bdr w:val="none" w:sz="0" w:space="0" w:color="auto"/>
      <w:shd w:val="clear" w:color="auto" w:fill="auto"/>
      <w:lang w:val="en-GB"/>
    </w:rPr>
  </w:style>
  <w:style w:type="character" w:customStyle="1" w:styleId="addressurl">
    <w:name w:val="*addressurl"/>
    <w:rsid w:val="00F0221C"/>
    <w:rPr>
      <w:noProof w:val="0"/>
      <w:color w:val="800080"/>
      <w:bdr w:val="none" w:sz="0" w:space="0" w:color="auto"/>
      <w:shd w:val="clear" w:color="auto" w:fill="auto"/>
      <w:lang w:val="en-GB"/>
    </w:rPr>
  </w:style>
  <w:style w:type="character" w:customStyle="1" w:styleId="fraction">
    <w:name w:val="*fraction"/>
    <w:rsid w:val="00F0221C"/>
    <w:rPr>
      <w:noProof w:val="0"/>
      <w:color w:val="FF00FF"/>
      <w:bdr w:val="none" w:sz="0" w:space="0" w:color="auto"/>
      <w:shd w:val="clear" w:color="auto" w:fill="auto"/>
      <w:lang w:val="en-GB"/>
    </w:rPr>
  </w:style>
  <w:style w:type="character" w:customStyle="1" w:styleId="authorname">
    <w:name w:val="*authorname"/>
    <w:rsid w:val="00F0221C"/>
    <w:rPr>
      <w:b/>
      <w:noProof w:val="0"/>
      <w:color w:val="800000"/>
      <w:bdr w:val="none" w:sz="0" w:space="0" w:color="auto"/>
      <w:shd w:val="clear" w:color="auto" w:fill="auto"/>
      <w:lang w:val="en-GB"/>
    </w:rPr>
  </w:style>
  <w:style w:type="character" w:customStyle="1" w:styleId="editorname">
    <w:name w:val="*editorname"/>
    <w:rsid w:val="00F0221C"/>
    <w:rPr>
      <w:b/>
      <w:noProof w:val="0"/>
      <w:color w:val="008000"/>
      <w:bdr w:val="none" w:sz="0" w:space="0" w:color="auto"/>
      <w:shd w:val="clear" w:color="auto" w:fill="auto"/>
      <w:lang w:val="en-GB"/>
    </w:rPr>
  </w:style>
  <w:style w:type="character" w:customStyle="1" w:styleId="authordetails">
    <w:name w:val="*authordetails"/>
    <w:rsid w:val="00F0221C"/>
    <w:rPr>
      <w:i/>
      <w:noProof w:val="0"/>
      <w:color w:val="800000"/>
      <w:bdr w:val="none" w:sz="0" w:space="0" w:color="auto"/>
      <w:shd w:val="clear" w:color="auto" w:fill="auto"/>
      <w:lang w:val="en-GB"/>
    </w:rPr>
  </w:style>
  <w:style w:type="character" w:customStyle="1" w:styleId="editordetails">
    <w:name w:val="*editordetails"/>
    <w:rsid w:val="00F0221C"/>
    <w:rPr>
      <w:i/>
      <w:noProof w:val="0"/>
      <w:color w:val="008000"/>
      <w:bdr w:val="none" w:sz="0" w:space="0" w:color="auto"/>
      <w:shd w:val="clear" w:color="auto" w:fill="auto"/>
      <w:lang w:val="en-GB"/>
    </w:rPr>
  </w:style>
  <w:style w:type="character" w:customStyle="1" w:styleId="fixed">
    <w:name w:val="*fixed"/>
    <w:rsid w:val="00F0221C"/>
    <w:rPr>
      <w:b/>
      <w:bCs/>
      <w:noProof w:val="0"/>
      <w:color w:val="00FF00"/>
      <w:bdr w:val="none" w:sz="0" w:space="0" w:color="auto"/>
      <w:shd w:val="clear" w:color="auto" w:fill="auto"/>
      <w:lang w:val="en-GB"/>
    </w:rPr>
  </w:style>
  <w:style w:type="character" w:customStyle="1" w:styleId="leader">
    <w:name w:val="*leader"/>
    <w:rsid w:val="00F0221C"/>
    <w:rPr>
      <w:b/>
      <w:bCs/>
      <w:noProof w:val="0"/>
      <w:color w:val="800000"/>
      <w:bdr w:val="none" w:sz="0" w:space="0" w:color="auto"/>
      <w:shd w:val="clear" w:color="auto" w:fill="auto"/>
      <w:lang w:val="en-GB"/>
    </w:rPr>
  </w:style>
  <w:style w:type="character" w:customStyle="1" w:styleId="footnoteid">
    <w:name w:val="*footnoteid"/>
    <w:rsid w:val="00F0221C"/>
    <w:rPr>
      <w:color w:val="0000FF"/>
      <w:vertAlign w:val="superscript"/>
    </w:rPr>
  </w:style>
  <w:style w:type="character" w:customStyle="1" w:styleId="endnoteid">
    <w:name w:val="*endnoteid"/>
    <w:rsid w:val="00F0221C"/>
    <w:rPr>
      <w:color w:val="FF00FF"/>
      <w:vertAlign w:val="superscript"/>
    </w:rPr>
  </w:style>
  <w:style w:type="character" w:customStyle="1" w:styleId="panel">
    <w:name w:val="*panel"/>
    <w:rsid w:val="00F0221C"/>
    <w:rPr>
      <w:noProof w:val="0"/>
      <w:color w:val="800080"/>
      <w:bdr w:val="none" w:sz="0" w:space="0" w:color="auto"/>
      <w:shd w:val="clear" w:color="auto" w:fill="auto"/>
      <w:lang w:val="en-GB"/>
    </w:rPr>
  </w:style>
  <w:style w:type="character" w:customStyle="1" w:styleId="status">
    <w:name w:val="*status"/>
    <w:rsid w:val="00F0221C"/>
    <w:rPr>
      <w:noProof w:val="0"/>
      <w:color w:val="FF0000"/>
      <w:bdr w:val="none" w:sz="0" w:space="0" w:color="auto"/>
      <w:shd w:val="clear" w:color="auto" w:fill="auto"/>
      <w:lang w:val="en-GB"/>
    </w:rPr>
  </w:style>
  <w:style w:type="character" w:customStyle="1" w:styleId="mainjudgmentby">
    <w:name w:val="*mainjudgmentby"/>
    <w:rsid w:val="00F0221C"/>
    <w:rPr>
      <w:noProof w:val="0"/>
      <w:color w:val="008080"/>
      <w:bdr w:val="none" w:sz="0" w:space="0" w:color="auto"/>
      <w:shd w:val="clear" w:color="auto" w:fill="auto"/>
      <w:lang w:val="en-GB"/>
    </w:rPr>
  </w:style>
  <w:style w:type="character" w:customStyle="1" w:styleId="leadertext">
    <w:name w:val="*leadertext"/>
    <w:rsid w:val="00F0221C"/>
    <w:rPr>
      <w:i/>
      <w:color w:val="800000"/>
    </w:rPr>
  </w:style>
  <w:style w:type="character" w:styleId="FootnoteReference">
    <w:name w:val="footnote reference"/>
    <w:uiPriority w:val="99"/>
    <w:semiHidden/>
    <w:unhideWhenUsed/>
    <w:rsid w:val="00F0221C"/>
    <w:rPr>
      <w:vertAlign w:val="superscript"/>
    </w:rPr>
  </w:style>
  <w:style w:type="table" w:customStyle="1" w:styleId="n-ParaNumber21">
    <w:name w:val="n-ParaNumber21"/>
    <w:basedOn w:val="TableNormal"/>
    <w:rsid w:val="00F0221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F0221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F0221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F0221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F0221C"/>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F0221C"/>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F0221C"/>
  </w:style>
  <w:style w:type="paragraph" w:customStyle="1" w:styleId="n-SectionHead7">
    <w:name w:val="n-SectionHead7"/>
    <w:basedOn w:val="n-Head7"/>
    <w:next w:val="n-Para"/>
    <w:rsid w:val="00F0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0221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F0221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F0221C"/>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F0221C"/>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0221C"/>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F0221C"/>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F0221C"/>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F0221C"/>
    <w:rPr>
      <w:rFonts w:ascii="Arial Bold" w:eastAsia="Times New Roman" w:hAnsi="Arial Bold" w:cs="Times New Roman"/>
      <w:b/>
      <w:sz w:val="20"/>
      <w:szCs w:val="20"/>
      <w:shd w:val="pct10" w:color="auto" w:fill="FFFFFF"/>
    </w:rPr>
  </w:style>
  <w:style w:type="paragraph" w:customStyle="1" w:styleId="n-ForAuthor">
    <w:name w:val="n-ForAuthor"/>
    <w:autoRedefine/>
    <w:rsid w:val="00F0221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F0221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F0221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F0221C"/>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F0221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F0221C"/>
    <w:rPr>
      <w:color w:val="008080"/>
    </w:rPr>
  </w:style>
  <w:style w:type="paragraph" w:customStyle="1" w:styleId="n-PartTitle">
    <w:name w:val="n-PartTitle"/>
    <w:rsid w:val="00F0221C"/>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F0221C"/>
    <w:rPr>
      <w:color w:val="3366FF"/>
    </w:rPr>
  </w:style>
  <w:style w:type="paragraph" w:customStyle="1" w:styleId="n-PartNumber2">
    <w:name w:val="n-PartNumber2"/>
    <w:basedOn w:val="n-PartNumber"/>
    <w:rsid w:val="00F0221C"/>
    <w:rPr>
      <w:color w:val="3366FF"/>
    </w:rPr>
  </w:style>
  <w:style w:type="paragraph" w:customStyle="1" w:styleId="n-PartTitle3">
    <w:name w:val="n-PartTitle3"/>
    <w:basedOn w:val="n-PartTitle2"/>
    <w:rsid w:val="00F0221C"/>
    <w:rPr>
      <w:color w:val="008080"/>
    </w:rPr>
  </w:style>
  <w:style w:type="paragraph" w:customStyle="1" w:styleId="n-ChapNumber">
    <w:name w:val="n-ChapNumber"/>
    <w:rsid w:val="00F0221C"/>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F0221C"/>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F0221C"/>
  </w:style>
  <w:style w:type="paragraph" w:customStyle="1" w:styleId="n-Head1">
    <w:name w:val="n-Head1"/>
    <w:rsid w:val="00F0221C"/>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F0221C"/>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F0221C"/>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F0221C"/>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F0221C"/>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F0221C"/>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F0221C"/>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F0221C"/>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F0221C"/>
    <w:rPr>
      <w:b w:val="0"/>
    </w:rPr>
  </w:style>
  <w:style w:type="paragraph" w:customStyle="1" w:styleId="n-SectionHead1">
    <w:name w:val="n-SectionHead1"/>
    <w:basedOn w:val="n-Head1"/>
    <w:next w:val="n-Para"/>
    <w:rsid w:val="00F0221C"/>
  </w:style>
  <w:style w:type="paragraph" w:customStyle="1" w:styleId="n-SectionHead2">
    <w:name w:val="n-SectionHead2"/>
    <w:basedOn w:val="n-Head2"/>
    <w:next w:val="n-Para"/>
    <w:rsid w:val="00F0221C"/>
  </w:style>
  <w:style w:type="paragraph" w:customStyle="1" w:styleId="n-SectionHead3">
    <w:name w:val="n-SectionHead3"/>
    <w:basedOn w:val="n-Head3"/>
    <w:next w:val="n-Para"/>
    <w:rsid w:val="00F0221C"/>
  </w:style>
  <w:style w:type="paragraph" w:customStyle="1" w:styleId="n-SectionHead4">
    <w:name w:val="n-SectionHead4"/>
    <w:basedOn w:val="n-Head4"/>
    <w:next w:val="n-Para"/>
    <w:rsid w:val="00F0221C"/>
  </w:style>
  <w:style w:type="paragraph" w:customStyle="1" w:styleId="n-SectionHead5">
    <w:name w:val="n-SectionHead5"/>
    <w:basedOn w:val="n-Head5"/>
    <w:next w:val="n-Para"/>
    <w:rsid w:val="00F0221C"/>
  </w:style>
  <w:style w:type="paragraph" w:customStyle="1" w:styleId="n-Appendices">
    <w:name w:val="n-Appendices"/>
    <w:basedOn w:val="n-Head1"/>
    <w:autoRedefine/>
    <w:rsid w:val="00F0221C"/>
  </w:style>
  <w:style w:type="paragraph" w:customStyle="1" w:styleId="AppendixPubB">
    <w:name w:val="#AppendixPub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F0221C"/>
    <w:rPr>
      <w:rFonts w:ascii="Arial Bold" w:hAnsi="Arial Bold"/>
    </w:rPr>
  </w:style>
  <w:style w:type="paragraph" w:customStyle="1" w:styleId="n-AppDivTitle">
    <w:name w:val="n-AppDivTitle"/>
    <w:basedOn w:val="n-AppPubTitle"/>
    <w:autoRedefine/>
    <w:rsid w:val="00F0221C"/>
    <w:rPr>
      <w:rFonts w:ascii="Arial" w:hAnsi="Arial"/>
      <w:b w:val="0"/>
    </w:rPr>
  </w:style>
  <w:style w:type="paragraph" w:customStyle="1" w:styleId="n-AppPartTitle">
    <w:name w:val="n-AppPartTitle"/>
    <w:basedOn w:val="n-AppDivTitle"/>
    <w:autoRedefine/>
    <w:rsid w:val="00F0221C"/>
    <w:rPr>
      <w:rFonts w:ascii="Arial Bold" w:hAnsi="Arial Bold"/>
      <w:b/>
      <w:sz w:val="32"/>
    </w:rPr>
  </w:style>
  <w:style w:type="paragraph" w:customStyle="1" w:styleId="n-AppChapTitle">
    <w:name w:val="n-AppChapTitle"/>
    <w:basedOn w:val="n-AppDivTitle"/>
    <w:autoRedefine/>
    <w:rsid w:val="00F0221C"/>
    <w:rPr>
      <w:i/>
      <w:sz w:val="32"/>
    </w:rPr>
  </w:style>
  <w:style w:type="paragraph" w:customStyle="1" w:styleId="n-SubTitle">
    <w:name w:val="n-SubTitle"/>
    <w:autoRedefine/>
    <w:rsid w:val="00F0221C"/>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F0221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F0221C"/>
    <w:rPr>
      <w:sz w:val="24"/>
    </w:rPr>
  </w:style>
  <w:style w:type="paragraph" w:customStyle="1" w:styleId="TOCB">
    <w:name w:val="#TOCB"/>
    <w:autoRedefine/>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F0221C"/>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F0221C"/>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F0221C"/>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F0221C"/>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F0221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F0221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F0221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F0221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F0221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F0221C"/>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F0221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F0221C"/>
    <w:pPr>
      <w:spacing w:before="120"/>
      <w:ind w:left="1418" w:firstLine="0"/>
    </w:pPr>
  </w:style>
  <w:style w:type="paragraph" w:customStyle="1" w:styleId="n-Quote2List2">
    <w:name w:val="n-Quote2List2"/>
    <w:basedOn w:val="n-Quote2List1"/>
    <w:autoRedefine/>
    <w:rsid w:val="00F0221C"/>
    <w:pPr>
      <w:ind w:left="1985"/>
    </w:pPr>
    <w:rPr>
      <w:szCs w:val="22"/>
    </w:rPr>
  </w:style>
  <w:style w:type="paragraph" w:customStyle="1" w:styleId="n-Quote2List2NextPara">
    <w:name w:val="n-Quote2List2NextPara"/>
    <w:autoRedefine/>
    <w:rsid w:val="00F0221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F0221C"/>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F0221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F0221C"/>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F0221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F0221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F0221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F0221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F0221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F0221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F0221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F0221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F0221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F0221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F0221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F0221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F0221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F0221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F0221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F0221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F0221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F0221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F0221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F0221C"/>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F0221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F0221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F0221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F0221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F0221C"/>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F0221C"/>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F0221C"/>
  </w:style>
  <w:style w:type="paragraph" w:customStyle="1" w:styleId="AddressB">
    <w:name w:val="#AddressB"/>
    <w:basedOn w:val="ExampleB"/>
    <w:autoRedefine/>
    <w:rsid w:val="00F0221C"/>
    <w:pPr>
      <w:shd w:val="clear" w:color="auto" w:fill="FFCC00"/>
    </w:pPr>
  </w:style>
  <w:style w:type="paragraph" w:customStyle="1" w:styleId="AddressE">
    <w:name w:val="#AddressE"/>
    <w:basedOn w:val="AddressB"/>
    <w:autoRedefine/>
    <w:rsid w:val="00F0221C"/>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F0221C"/>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F0221C"/>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F0221C"/>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F0221C"/>
    <w:pPr>
      <w:shd w:val="clear" w:color="auto" w:fill="99CC00"/>
    </w:pPr>
  </w:style>
  <w:style w:type="paragraph" w:customStyle="1" w:styleId="ScopeE">
    <w:name w:val="#ScopeE"/>
    <w:basedOn w:val="ScopeB"/>
    <w:autoRedefine/>
    <w:rsid w:val="00F0221C"/>
  </w:style>
  <w:style w:type="paragraph" w:customStyle="1" w:styleId="TableB">
    <w:name w:val="#Table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F0221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F0221C"/>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F0221C"/>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F0221C"/>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F0221C"/>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F0221C"/>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F0221C"/>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0221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F0221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F0221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F0221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F0221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F0221C"/>
  </w:style>
  <w:style w:type="paragraph" w:customStyle="1" w:styleId="c-LegislationReferredTo">
    <w:name w:val="c-LegislationReferredTo"/>
    <w:basedOn w:val="c-CompaniesReferredTo"/>
    <w:autoRedefine/>
    <w:rsid w:val="00F0221C"/>
  </w:style>
  <w:style w:type="paragraph" w:customStyle="1" w:styleId="c-CaseName">
    <w:name w:val="c-CaseName"/>
    <w:rsid w:val="00F0221C"/>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F0221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F0221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F0221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F0221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F0221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F0221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F0221C"/>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F0221C"/>
  </w:style>
  <w:style w:type="paragraph" w:customStyle="1" w:styleId="c-DigestReporter">
    <w:name w:val="c-DigestReporter"/>
    <w:basedOn w:val="c-CourtReporter"/>
    <w:autoRedefine/>
    <w:rsid w:val="00F0221C"/>
    <w:rPr>
      <w:i/>
    </w:rPr>
  </w:style>
  <w:style w:type="paragraph" w:customStyle="1" w:styleId="c-Copyright">
    <w:name w:val="c-Copyright"/>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F0221C"/>
  </w:style>
  <w:style w:type="paragraph" w:customStyle="1" w:styleId="c-JudgmentReserved">
    <w:name w:val="c-JudgmentReserved"/>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F0221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F0221C"/>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F0221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F0221C"/>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F0221C"/>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F0221C"/>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F0221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0221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0221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0221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F0221C"/>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F0221C"/>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F0221C"/>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F0221C"/>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F0221C"/>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F0221C"/>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F0221C"/>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F0221C"/>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F0221C"/>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F0221C"/>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F0221C"/>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F0221C"/>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F0221C"/>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F0221C"/>
    <w:pPr>
      <w:spacing w:before="240" w:after="0" w:line="240" w:lineRule="auto"/>
    </w:pPr>
    <w:rPr>
      <w:rFonts w:ascii="Arial" w:eastAsia="Times New Roman" w:hAnsi="Arial" w:cs="Times New Roman"/>
      <w:i/>
      <w:sz w:val="20"/>
      <w:szCs w:val="20"/>
      <w:lang w:eastAsia="en-GB"/>
    </w:rPr>
  </w:style>
  <w:style w:type="paragraph" w:customStyle="1" w:styleId="ENAF">
    <w:name w:val="[ENAF"/>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F0221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F0221C"/>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F0221C"/>
    <w:pPr>
      <w:spacing w:before="100" w:beforeAutospacing="1" w:after="100" w:afterAutospacing="1"/>
    </w:pPr>
  </w:style>
  <w:style w:type="paragraph" w:customStyle="1" w:styleId="H1">
    <w:name w:val="[H1"/>
    <w:rsid w:val="00F0221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F0221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F0221C"/>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F0221C"/>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F0221C"/>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F0221C"/>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F0221C"/>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F0221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F0221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F0221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0221C"/>
    <w:pPr>
      <w:spacing w:before="240" w:after="0" w:line="240" w:lineRule="auto"/>
    </w:pPr>
    <w:rPr>
      <w:rFonts w:ascii="Arial" w:eastAsia="Times New Roman" w:hAnsi="Arial" w:cs="Times New Roman"/>
      <w:sz w:val="20"/>
      <w:szCs w:val="20"/>
      <w:lang w:eastAsia="en-GB"/>
    </w:rPr>
  </w:style>
  <w:style w:type="paragraph" w:customStyle="1" w:styleId="P2">
    <w:name w:val="[P2"/>
    <w:rsid w:val="00F0221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0221C"/>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F0221C"/>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F0221C"/>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F0221C"/>
    <w:pPr>
      <w:ind w:left="3402"/>
    </w:pPr>
  </w:style>
  <w:style w:type="paragraph" w:customStyle="1" w:styleId="C1">
    <w:name w:val="[C1"/>
    <w:rsid w:val="00F0221C"/>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F0221C"/>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F0221C"/>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F0221C"/>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F0221C"/>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F0221C"/>
    <w:pPr>
      <w:ind w:left="2835"/>
    </w:pPr>
  </w:style>
  <w:style w:type="paragraph" w:customStyle="1" w:styleId="X1">
    <w:name w:val="[X1"/>
    <w:rsid w:val="00F0221C"/>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F0221C"/>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F0221C"/>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F0221C"/>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F0221C"/>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F0221C"/>
    <w:pPr>
      <w:ind w:left="3402" w:firstLine="284"/>
    </w:pPr>
  </w:style>
  <w:style w:type="paragraph" w:customStyle="1" w:styleId="ISOB">
    <w:name w:val="[ISO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F0221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F0221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F0221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F0221C"/>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F0221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F0221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F0221C"/>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F0221C"/>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F0221C"/>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F0221C"/>
    <w:pPr>
      <w:spacing w:before="100" w:beforeAutospacing="1" w:after="100" w:afterAutospacing="1"/>
    </w:pPr>
  </w:style>
  <w:style w:type="paragraph" w:customStyle="1" w:styleId="p-Subject">
    <w:name w:val="p-Subject"/>
    <w:basedOn w:val="p-Para"/>
    <w:rsid w:val="00F0221C"/>
  </w:style>
  <w:style w:type="paragraph" w:customStyle="1" w:styleId="p-Salutation">
    <w:name w:val="p-Salutation"/>
    <w:basedOn w:val="n-Para"/>
    <w:rsid w:val="00F0221C"/>
  </w:style>
  <w:style w:type="paragraph" w:customStyle="1" w:styleId="p-PrecTitle">
    <w:name w:val="p-PrecTitle"/>
    <w:rsid w:val="00F0221C"/>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F0221C"/>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F0221C"/>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F0221C"/>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F0221C"/>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F0221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F0221C"/>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F0221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F0221C"/>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F0221C"/>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F0221C"/>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F0221C"/>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F0221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F0221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F0221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F0221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F0221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F0221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F0221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F0221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F0221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F0221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F0221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F0221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F0221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F0221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F0221C"/>
    <w:rPr>
      <w:rFonts w:ascii="Arial Bold" w:hAnsi="Arial Bold"/>
      <w:b/>
    </w:rPr>
  </w:style>
  <w:style w:type="paragraph" w:customStyle="1" w:styleId="p-Clause2Head">
    <w:name w:val="p-Clause2Head"/>
    <w:basedOn w:val="p-Clause2"/>
    <w:autoRedefine/>
    <w:rsid w:val="00F0221C"/>
    <w:rPr>
      <w:rFonts w:ascii="Arial Bold" w:hAnsi="Arial Bold"/>
      <w:b/>
    </w:rPr>
  </w:style>
  <w:style w:type="paragraph" w:customStyle="1" w:styleId="p-Clause3Head">
    <w:name w:val="p-Clause3Head"/>
    <w:basedOn w:val="p-Clause3"/>
    <w:autoRedefine/>
    <w:rsid w:val="00F0221C"/>
    <w:rPr>
      <w:rFonts w:ascii="Arial Bold" w:hAnsi="Arial Bold"/>
      <w:b/>
    </w:rPr>
  </w:style>
  <w:style w:type="paragraph" w:customStyle="1" w:styleId="p-Clause4Head">
    <w:name w:val="p-Clause4Head"/>
    <w:basedOn w:val="p-Clause4"/>
    <w:autoRedefine/>
    <w:rsid w:val="00F0221C"/>
    <w:rPr>
      <w:rFonts w:ascii="Arial Bold" w:hAnsi="Arial Bold"/>
      <w:b/>
    </w:rPr>
  </w:style>
  <w:style w:type="paragraph" w:customStyle="1" w:styleId="p-Clause5Head">
    <w:name w:val="p-Clause5Head"/>
    <w:basedOn w:val="p-Clause5"/>
    <w:autoRedefine/>
    <w:rsid w:val="00F0221C"/>
    <w:rPr>
      <w:rFonts w:ascii="Arial Bold" w:hAnsi="Arial Bold"/>
      <w:b/>
    </w:rPr>
  </w:style>
  <w:style w:type="paragraph" w:customStyle="1" w:styleId="p-Clause6Head">
    <w:name w:val="p-Clause6Head"/>
    <w:basedOn w:val="p-Clause6"/>
    <w:next w:val="p-Clause6NextPara"/>
    <w:autoRedefine/>
    <w:rsid w:val="00F0221C"/>
    <w:rPr>
      <w:rFonts w:ascii="Arial Bold" w:hAnsi="Arial Bold"/>
      <w:b/>
    </w:rPr>
  </w:style>
  <w:style w:type="paragraph" w:customStyle="1" w:styleId="p-Clause7Head">
    <w:name w:val="p-Clause7Head"/>
    <w:basedOn w:val="p-Clause7"/>
    <w:autoRedefine/>
    <w:rsid w:val="00F0221C"/>
    <w:rPr>
      <w:rFonts w:ascii="Arial Bold" w:hAnsi="Arial Bold"/>
      <w:b/>
    </w:rPr>
  </w:style>
  <w:style w:type="paragraph" w:customStyle="1" w:styleId="p-Para">
    <w:name w:val="p-Para"/>
    <w:rsid w:val="00F0221C"/>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F0221C"/>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F0221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F0221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F0221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F0221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F0221C"/>
    <w:pPr>
      <w:spacing w:before="120"/>
    </w:pPr>
  </w:style>
  <w:style w:type="character" w:customStyle="1" w:styleId="FootnoteTextChar">
    <w:name w:val="Footnote Text Char"/>
    <w:basedOn w:val="DefaultParagraphFont"/>
    <w:link w:val="FootnoteText"/>
    <w:rsid w:val="00F0221C"/>
    <w:rPr>
      <w:rFonts w:ascii="Arial" w:eastAsia="Times New Roman" w:hAnsi="Arial" w:cs="Times New Roman"/>
      <w:sz w:val="20"/>
      <w:szCs w:val="20"/>
    </w:rPr>
  </w:style>
  <w:style w:type="paragraph" w:customStyle="1" w:styleId="n-ParaNumber2">
    <w:name w:val="n-ParaNumber2"/>
    <w:rsid w:val="00F0221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F0221C"/>
    <w:rPr>
      <w:iCs/>
      <w:noProof w:val="0"/>
      <w:color w:val="0000FF"/>
      <w:bdr w:val="none" w:sz="0" w:space="0" w:color="auto"/>
      <w:shd w:val="clear" w:color="auto" w:fill="auto"/>
      <w:lang w:val="en-GB"/>
    </w:rPr>
  </w:style>
  <w:style w:type="character" w:customStyle="1" w:styleId="xref">
    <w:name w:val="*xref"/>
    <w:rsid w:val="00F0221C"/>
    <w:rPr>
      <w:b/>
      <w:bCs/>
      <w:smallCaps/>
      <w:noProof w:val="0"/>
      <w:color w:val="0000FF"/>
      <w:bdr w:val="none" w:sz="0" w:space="0" w:color="auto"/>
      <w:shd w:val="clear" w:color="auto" w:fill="auto"/>
      <w:lang w:val="en-GB"/>
    </w:rPr>
  </w:style>
  <w:style w:type="character" w:customStyle="1" w:styleId="chapter-ref">
    <w:name w:val="*chapter-ref"/>
    <w:rsid w:val="00F0221C"/>
    <w:rPr>
      <w:color w:val="0000FF"/>
    </w:rPr>
  </w:style>
  <w:style w:type="character" w:customStyle="1" w:styleId="citation">
    <w:name w:val="*citation"/>
    <w:basedOn w:val="DefaultParagraphFont"/>
    <w:rsid w:val="00F0221C"/>
  </w:style>
  <w:style w:type="character" w:customStyle="1" w:styleId="inlinequote">
    <w:name w:val="*inlinequote"/>
    <w:rsid w:val="00F0221C"/>
    <w:rPr>
      <w:noProof w:val="0"/>
      <w:color w:val="008000"/>
      <w:bdr w:val="none" w:sz="0" w:space="0" w:color="auto"/>
      <w:shd w:val="clear" w:color="auto" w:fill="auto"/>
      <w:lang w:val="en-GB"/>
    </w:rPr>
  </w:style>
  <w:style w:type="character" w:customStyle="1" w:styleId="postcode">
    <w:name w:val="*postcode"/>
    <w:rsid w:val="00F0221C"/>
    <w:rPr>
      <w:noProof w:val="0"/>
      <w:color w:val="FF9900"/>
      <w:bdr w:val="none" w:sz="0" w:space="0" w:color="auto"/>
      <w:shd w:val="clear" w:color="auto" w:fill="auto"/>
      <w:lang w:val="en-GB"/>
    </w:rPr>
  </w:style>
  <w:style w:type="character" w:customStyle="1" w:styleId="addressurl">
    <w:name w:val="*addressurl"/>
    <w:rsid w:val="00F0221C"/>
    <w:rPr>
      <w:noProof w:val="0"/>
      <w:color w:val="800080"/>
      <w:bdr w:val="none" w:sz="0" w:space="0" w:color="auto"/>
      <w:shd w:val="clear" w:color="auto" w:fill="auto"/>
      <w:lang w:val="en-GB"/>
    </w:rPr>
  </w:style>
  <w:style w:type="character" w:customStyle="1" w:styleId="fraction">
    <w:name w:val="*fraction"/>
    <w:rsid w:val="00F0221C"/>
    <w:rPr>
      <w:noProof w:val="0"/>
      <w:color w:val="FF00FF"/>
      <w:bdr w:val="none" w:sz="0" w:space="0" w:color="auto"/>
      <w:shd w:val="clear" w:color="auto" w:fill="auto"/>
      <w:lang w:val="en-GB"/>
    </w:rPr>
  </w:style>
  <w:style w:type="character" w:customStyle="1" w:styleId="authorname">
    <w:name w:val="*authorname"/>
    <w:rsid w:val="00F0221C"/>
    <w:rPr>
      <w:b/>
      <w:noProof w:val="0"/>
      <w:color w:val="800000"/>
      <w:bdr w:val="none" w:sz="0" w:space="0" w:color="auto"/>
      <w:shd w:val="clear" w:color="auto" w:fill="auto"/>
      <w:lang w:val="en-GB"/>
    </w:rPr>
  </w:style>
  <w:style w:type="character" w:customStyle="1" w:styleId="editorname">
    <w:name w:val="*editorname"/>
    <w:rsid w:val="00F0221C"/>
    <w:rPr>
      <w:b/>
      <w:noProof w:val="0"/>
      <w:color w:val="008000"/>
      <w:bdr w:val="none" w:sz="0" w:space="0" w:color="auto"/>
      <w:shd w:val="clear" w:color="auto" w:fill="auto"/>
      <w:lang w:val="en-GB"/>
    </w:rPr>
  </w:style>
  <w:style w:type="character" w:customStyle="1" w:styleId="authordetails">
    <w:name w:val="*authordetails"/>
    <w:rsid w:val="00F0221C"/>
    <w:rPr>
      <w:i/>
      <w:noProof w:val="0"/>
      <w:color w:val="800000"/>
      <w:bdr w:val="none" w:sz="0" w:space="0" w:color="auto"/>
      <w:shd w:val="clear" w:color="auto" w:fill="auto"/>
      <w:lang w:val="en-GB"/>
    </w:rPr>
  </w:style>
  <w:style w:type="character" w:customStyle="1" w:styleId="editordetails">
    <w:name w:val="*editordetails"/>
    <w:rsid w:val="00F0221C"/>
    <w:rPr>
      <w:i/>
      <w:noProof w:val="0"/>
      <w:color w:val="008000"/>
      <w:bdr w:val="none" w:sz="0" w:space="0" w:color="auto"/>
      <w:shd w:val="clear" w:color="auto" w:fill="auto"/>
      <w:lang w:val="en-GB"/>
    </w:rPr>
  </w:style>
  <w:style w:type="character" w:customStyle="1" w:styleId="fixed">
    <w:name w:val="*fixed"/>
    <w:rsid w:val="00F0221C"/>
    <w:rPr>
      <w:b/>
      <w:bCs/>
      <w:noProof w:val="0"/>
      <w:color w:val="00FF00"/>
      <w:bdr w:val="none" w:sz="0" w:space="0" w:color="auto"/>
      <w:shd w:val="clear" w:color="auto" w:fill="auto"/>
      <w:lang w:val="en-GB"/>
    </w:rPr>
  </w:style>
  <w:style w:type="character" w:customStyle="1" w:styleId="leader">
    <w:name w:val="*leader"/>
    <w:rsid w:val="00F0221C"/>
    <w:rPr>
      <w:b/>
      <w:bCs/>
      <w:noProof w:val="0"/>
      <w:color w:val="800000"/>
      <w:bdr w:val="none" w:sz="0" w:space="0" w:color="auto"/>
      <w:shd w:val="clear" w:color="auto" w:fill="auto"/>
      <w:lang w:val="en-GB"/>
    </w:rPr>
  </w:style>
  <w:style w:type="character" w:customStyle="1" w:styleId="footnoteid">
    <w:name w:val="*footnoteid"/>
    <w:rsid w:val="00F0221C"/>
    <w:rPr>
      <w:color w:val="0000FF"/>
      <w:vertAlign w:val="superscript"/>
    </w:rPr>
  </w:style>
  <w:style w:type="character" w:customStyle="1" w:styleId="endnoteid">
    <w:name w:val="*endnoteid"/>
    <w:rsid w:val="00F0221C"/>
    <w:rPr>
      <w:color w:val="FF00FF"/>
      <w:vertAlign w:val="superscript"/>
    </w:rPr>
  </w:style>
  <w:style w:type="character" w:customStyle="1" w:styleId="panel">
    <w:name w:val="*panel"/>
    <w:rsid w:val="00F0221C"/>
    <w:rPr>
      <w:noProof w:val="0"/>
      <w:color w:val="800080"/>
      <w:bdr w:val="none" w:sz="0" w:space="0" w:color="auto"/>
      <w:shd w:val="clear" w:color="auto" w:fill="auto"/>
      <w:lang w:val="en-GB"/>
    </w:rPr>
  </w:style>
  <w:style w:type="character" w:customStyle="1" w:styleId="status">
    <w:name w:val="*status"/>
    <w:rsid w:val="00F0221C"/>
    <w:rPr>
      <w:noProof w:val="0"/>
      <w:color w:val="FF0000"/>
      <w:bdr w:val="none" w:sz="0" w:space="0" w:color="auto"/>
      <w:shd w:val="clear" w:color="auto" w:fill="auto"/>
      <w:lang w:val="en-GB"/>
    </w:rPr>
  </w:style>
  <w:style w:type="character" w:customStyle="1" w:styleId="mainjudgmentby">
    <w:name w:val="*mainjudgmentby"/>
    <w:rsid w:val="00F0221C"/>
    <w:rPr>
      <w:noProof w:val="0"/>
      <w:color w:val="008080"/>
      <w:bdr w:val="none" w:sz="0" w:space="0" w:color="auto"/>
      <w:shd w:val="clear" w:color="auto" w:fill="auto"/>
      <w:lang w:val="en-GB"/>
    </w:rPr>
  </w:style>
  <w:style w:type="character" w:customStyle="1" w:styleId="leadertext">
    <w:name w:val="*leadertext"/>
    <w:rsid w:val="00F0221C"/>
    <w:rPr>
      <w:i/>
      <w:color w:val="800000"/>
    </w:rPr>
  </w:style>
  <w:style w:type="character" w:styleId="FootnoteReference">
    <w:name w:val="footnote reference"/>
    <w:uiPriority w:val="99"/>
    <w:semiHidden/>
    <w:unhideWhenUsed/>
    <w:rsid w:val="00F0221C"/>
    <w:rPr>
      <w:vertAlign w:val="superscript"/>
    </w:rPr>
  </w:style>
  <w:style w:type="table" w:customStyle="1" w:styleId="n-ParaNumber21">
    <w:name w:val="n-ParaNumber21"/>
    <w:basedOn w:val="TableNormal"/>
    <w:rsid w:val="00F0221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F0221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F0221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F0221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F0221C"/>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F0221C"/>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F0221C"/>
  </w:style>
  <w:style w:type="paragraph" w:customStyle="1" w:styleId="n-SectionHead7">
    <w:name w:val="n-SectionHead7"/>
    <w:basedOn w:val="n-Head7"/>
    <w:next w:val="n-Para"/>
    <w:rsid w:val="00F0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2015-02-10T11:45:00Z</dcterms:created>
  <dcterms:modified xsi:type="dcterms:W3CDTF">2015-02-10T11:46:00Z</dcterms:modified>
</cp:coreProperties>
</file>