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D2" w:rsidRDefault="007717D2" w:rsidP="007717D2">
      <w:pPr>
        <w:pStyle w:val="SNUM"/>
      </w:pPr>
      <w:r>
        <w:fldChar w:fldCharType="begin"/>
      </w:r>
      <w:r>
        <w:instrText xml:space="preserve"> XE "officialnum:N1CB2A:[SNUM" </w:instrText>
      </w:r>
      <w:r>
        <w:fldChar w:fldCharType="end"/>
      </w:r>
      <w:r>
        <w:t>2010/644</w:t>
      </w:r>
    </w:p>
    <w:p w:rsidR="007717D2" w:rsidRDefault="007717D2" w:rsidP="007717D2">
      <w:pPr>
        <w:pStyle w:val="TTL"/>
      </w:pPr>
      <w:r>
        <w:fldChar w:fldCharType="begin"/>
      </w:r>
      <w:r>
        <w:instrText xml:space="preserve"> XE "title:N1CB31:[TTL" </w:instrText>
      </w:r>
      <w:r>
        <w:fldChar w:fldCharType="end"/>
      </w:r>
      <w:r>
        <w:t>Tax Credits Act 2002 (Transitional Provisions) Order 2010</w:t>
      </w:r>
    </w:p>
    <w:p w:rsidR="007717D2" w:rsidRDefault="007717D2" w:rsidP="007717D2">
      <w:pPr>
        <w:pStyle w:val="n-ShortHead"/>
      </w:pPr>
      <w:r>
        <w:fldChar w:fldCharType="begin"/>
      </w:r>
      <w:r>
        <w:instrText xml:space="preserve"> XE "title-alt:N1CB34:n-ShortHead" </w:instrText>
      </w:r>
      <w:r>
        <w:fldChar w:fldCharType="end"/>
      </w:r>
      <w:r>
        <w:t>TCA 2002 (Transitional Provisions) Ord</w:t>
      </w:r>
    </w:p>
    <w:p w:rsidR="007717D2" w:rsidRDefault="007717D2" w:rsidP="007717D2">
      <w:pPr>
        <w:pStyle w:val="MADE"/>
      </w:pPr>
      <w:r>
        <w:fldChar w:fldCharType="begin"/>
      </w:r>
      <w:r>
        <w:instrText xml:space="preserve"> XE "made:N1CB36:[MADE" </w:instrText>
      </w:r>
      <w:r>
        <w:fldChar w:fldCharType="end"/>
      </w:r>
      <w:r>
        <w:t xml:space="preserve">Made </w:t>
      </w:r>
      <w:r>
        <w:tab/>
        <w:t>8 March 2010</w:t>
      </w:r>
    </w:p>
    <w:p w:rsidR="007717D2" w:rsidRDefault="007717D2" w:rsidP="007717D2">
      <w:pPr>
        <w:pStyle w:val="OPER"/>
      </w:pPr>
      <w:r>
        <w:fldChar w:fldCharType="begin"/>
      </w:r>
      <w:r>
        <w:instrText xml:space="preserve"> XE "operation:N1CB3C:[OPER" </w:instrText>
      </w:r>
      <w:r>
        <w:fldChar w:fldCharType="end"/>
      </w:r>
      <w:r>
        <w:t xml:space="preserve">Coming into force </w:t>
      </w:r>
      <w:r>
        <w:tab/>
        <w:t>1 April 2010</w:t>
      </w:r>
    </w:p>
    <w:p w:rsidR="007717D2" w:rsidRDefault="007717D2" w:rsidP="007717D2">
      <w:pPr>
        <w:pStyle w:val="PREA"/>
      </w:pPr>
      <w:r>
        <w:fldChar w:fldCharType="begin"/>
      </w:r>
      <w:r>
        <w:instrText xml:space="preserve"> XE "preamble:N1CB42:PREA" </w:instrText>
      </w:r>
      <w:r>
        <w:fldChar w:fldCharType="end"/>
      </w:r>
      <w:r>
        <w:t>[PREA</w:t>
      </w:r>
    </w:p>
    <w:p w:rsidR="007717D2" w:rsidRDefault="007717D2" w:rsidP="007717D2">
      <w:pPr>
        <w:pStyle w:val="P1"/>
      </w:pPr>
      <w:r>
        <w:fldChar w:fldCharType="begin"/>
      </w:r>
      <w:r>
        <w:instrText xml:space="preserve"> XE "para1:N1CB45:[P1" </w:instrText>
      </w:r>
      <w:r>
        <w:fldChar w:fldCharType="end"/>
      </w:r>
      <w:r>
        <w:t>The Treasury make the following Order in exercise of the powers conferred by section 62(2) of the Tax Credits Act 2002.</w:t>
      </w:r>
    </w:p>
    <w:p w:rsidR="007717D2" w:rsidRDefault="007717D2" w:rsidP="007717D2">
      <w:pPr>
        <w:pStyle w:val="MAIN"/>
      </w:pPr>
      <w:r>
        <w:fldChar w:fldCharType="begin"/>
      </w:r>
      <w:r>
        <w:instrText xml:space="preserve"> XE "main:N1CB49:MAIN" </w:instrText>
      </w:r>
      <w:r>
        <w:fldChar w:fldCharType="end"/>
      </w:r>
      <w:r>
        <w:t>[MAIN</w:t>
      </w:r>
    </w:p>
    <w:p w:rsidR="007717D2" w:rsidRDefault="007717D2" w:rsidP="007717D2">
      <w:pPr>
        <w:pStyle w:val="PHDR"/>
      </w:pPr>
      <w:r>
        <w:fldChar w:fldCharType="begin"/>
      </w:r>
      <w:r>
        <w:instrText xml:space="preserve"> XE "provision:N1CB4C:[PHDR" </w:instrText>
      </w:r>
      <w:r>
        <w:fldChar w:fldCharType="end"/>
      </w:r>
      <w:r>
        <w:t>1</w:t>
      </w:r>
      <w:r>
        <w:tab/>
        <w:t>Citation and commencement</w:t>
      </w:r>
    </w:p>
    <w:p w:rsidR="007717D2" w:rsidRDefault="007717D2" w:rsidP="007717D2">
      <w:pPr>
        <w:pStyle w:val="P1"/>
      </w:pPr>
      <w:r>
        <w:fldChar w:fldCharType="begin"/>
      </w:r>
      <w:r>
        <w:instrText xml:space="preserve"> XE "para1:N1CB73:[P1" </w:instrText>
      </w:r>
      <w:r>
        <w:fldChar w:fldCharType="end"/>
      </w:r>
      <w:r>
        <w:t>This Order may be cited as the Tax Credits Act 2002 (Transitional Provisions) Order 2010 and shall come into force on 1st April 2010.</w:t>
      </w:r>
    </w:p>
    <w:p w:rsidR="007717D2" w:rsidRDefault="007717D2" w:rsidP="007717D2">
      <w:pPr>
        <w:pStyle w:val="PHDR"/>
      </w:pPr>
      <w:r>
        <w:fldChar w:fldCharType="begin"/>
      </w:r>
      <w:r>
        <w:instrText xml:space="preserve"> XE "provision:N1CB77:[PHDR" </w:instrText>
      </w:r>
      <w:r>
        <w:fldChar w:fldCharType="end"/>
      </w:r>
      <w:r>
        <w:t>2</w:t>
      </w:r>
      <w:r>
        <w:tab/>
        <w:t>Interpretation</w:t>
      </w:r>
    </w:p>
    <w:p w:rsidR="007717D2" w:rsidRDefault="007717D2" w:rsidP="007717D2">
      <w:pPr>
        <w:pStyle w:val="P1"/>
      </w:pPr>
      <w:r>
        <w:fldChar w:fldCharType="begin"/>
      </w:r>
      <w:r>
        <w:instrText xml:space="preserve"> XE "para1:N1CB9E:[P1" </w:instrText>
      </w:r>
      <w:r>
        <w:fldChar w:fldCharType="end"/>
      </w:r>
      <w:r>
        <w:t>(1)</w:t>
      </w:r>
      <w:r>
        <w:tab/>
        <w:t>In this Order—</w:t>
      </w:r>
    </w:p>
    <w:p w:rsidR="007717D2" w:rsidRDefault="007717D2" w:rsidP="007717D2">
      <w:pPr>
        <w:pStyle w:val="P2"/>
      </w:pPr>
      <w:r>
        <w:fldChar w:fldCharType="begin"/>
      </w:r>
      <w:r>
        <w:instrText xml:space="preserve"> XE "para2:N1CBA4:[P2" </w:instrText>
      </w:r>
      <w:r>
        <w:fldChar w:fldCharType="end"/>
      </w:r>
      <w:r>
        <w:t>“benefit week” has the meaning given in—</w:t>
      </w:r>
    </w:p>
    <w:p w:rsidR="007717D2" w:rsidRDefault="007717D2" w:rsidP="007717D2">
      <w:pPr>
        <w:pStyle w:val="P3"/>
      </w:pPr>
      <w:r>
        <w:fldChar w:fldCharType="begin"/>
      </w:r>
      <w:r>
        <w:instrText xml:space="preserve"> XE "para3:N1CBA8:[P3" </w:instrText>
      </w:r>
      <w:r>
        <w:fldChar w:fldCharType="end"/>
      </w:r>
      <w:r>
        <w:t>(</w:t>
      </w:r>
      <w:r>
        <w:rPr>
          <w:i/>
          <w:iCs/>
        </w:rPr>
        <w:t>a</w:t>
      </w:r>
      <w:r>
        <w:t>)</w:t>
      </w:r>
      <w:r>
        <w:tab/>
        <w:t>regulation 2(1) of the Income Support Regulations 1987 in relation to income support, and</w:t>
      </w:r>
    </w:p>
    <w:p w:rsidR="007717D2" w:rsidRDefault="007717D2" w:rsidP="007717D2">
      <w:pPr>
        <w:pStyle w:val="P3"/>
      </w:pPr>
      <w:r>
        <w:fldChar w:fldCharType="begin"/>
      </w:r>
      <w:r>
        <w:instrText xml:space="preserve"> XE "para3:N1CBB2:[P3" </w:instrText>
      </w:r>
      <w:r>
        <w:fldChar w:fldCharType="end"/>
      </w:r>
      <w:r>
        <w:t>(</w:t>
      </w:r>
      <w:r>
        <w:rPr>
          <w:i/>
          <w:iCs/>
        </w:rPr>
        <w:t>b</w:t>
      </w:r>
      <w:r>
        <w:t>)</w:t>
      </w:r>
      <w:r>
        <w:tab/>
        <w:t>regulation 1(3) of the Jobseeker's Allowance Regulations 1996 in relation to income-based jobseeker's allowance;</w:t>
      </w:r>
    </w:p>
    <w:p w:rsidR="007717D2" w:rsidRDefault="007717D2" w:rsidP="007717D2">
      <w:pPr>
        <w:pStyle w:val="P2"/>
      </w:pPr>
      <w:r>
        <w:fldChar w:fldCharType="begin"/>
      </w:r>
      <w:r>
        <w:instrText xml:space="preserve"> XE "para2:N1CBBC:[P2" </w:instrText>
      </w:r>
      <w:r>
        <w:fldChar w:fldCharType="end"/>
      </w:r>
      <w:r>
        <w:t>“child premia” means the amounts in respect of income support or income-based jobseeker's allowance referred to in section 1(3)(</w:t>
      </w:r>
      <w:r>
        <w:rPr>
          <w:i/>
          <w:iCs/>
        </w:rPr>
        <w:t>d</w:t>
      </w:r>
      <w:r>
        <w:t>) of the Tax Credits Act 2002;</w:t>
      </w:r>
    </w:p>
    <w:p w:rsidR="007717D2" w:rsidRDefault="007717D2" w:rsidP="007717D2">
      <w:pPr>
        <w:pStyle w:val="P2"/>
      </w:pPr>
      <w:r>
        <w:fldChar w:fldCharType="begin"/>
      </w:r>
      <w:r>
        <w:instrText xml:space="preserve"> XE "para2:N1CBC4:[P2" </w:instrText>
      </w:r>
      <w:r>
        <w:fldChar w:fldCharType="end"/>
      </w:r>
      <w:r>
        <w:t>“polygamous unit” has the meaning given in regulation 2 of the Tax Credits (Polygamous Marriages) Regulations 2003;</w:t>
      </w:r>
    </w:p>
    <w:p w:rsidR="007717D2" w:rsidRDefault="007717D2" w:rsidP="007717D2">
      <w:pPr>
        <w:pStyle w:val="P2"/>
      </w:pPr>
      <w:r>
        <w:fldChar w:fldCharType="begin"/>
      </w:r>
      <w:r>
        <w:instrText xml:space="preserve"> XE "para2:N1CBC8:[P2" </w:instrText>
      </w:r>
      <w:r>
        <w:fldChar w:fldCharType="end"/>
      </w:r>
      <w:r>
        <w:t>“specified date” has the meaning given by paragraph (2);</w:t>
      </w:r>
    </w:p>
    <w:p w:rsidR="007717D2" w:rsidRDefault="007717D2" w:rsidP="007717D2">
      <w:pPr>
        <w:pStyle w:val="P2"/>
      </w:pPr>
      <w:r>
        <w:fldChar w:fldCharType="begin"/>
      </w:r>
      <w:r>
        <w:instrText xml:space="preserve"> XE "para2:N1CBCC:[P2" </w:instrText>
      </w:r>
      <w:r>
        <w:fldChar w:fldCharType="end"/>
      </w:r>
      <w:r>
        <w:t>“specified person” has the meaning given by paragraph (3).</w:t>
      </w:r>
    </w:p>
    <w:p w:rsidR="007717D2" w:rsidRDefault="007717D2" w:rsidP="007717D2">
      <w:pPr>
        <w:pStyle w:val="P1"/>
      </w:pPr>
      <w:r>
        <w:fldChar w:fldCharType="begin"/>
      </w:r>
      <w:r>
        <w:instrText xml:space="preserve"> XE "para1:N1CBD0:[P1" </w:instrText>
      </w:r>
      <w:r>
        <w:fldChar w:fldCharType="end"/>
      </w:r>
      <w:r>
        <w:t>(2)</w:t>
      </w:r>
      <w:r>
        <w:tab/>
        <w:t>For the purposes of this Order the “specified date” is the day following the date notified to an officer of Revenue and Customs as the final day of the last benefit week for which the child premia is to be paid to the specified person—</w:t>
      </w:r>
    </w:p>
    <w:p w:rsidR="007717D2" w:rsidRDefault="007717D2" w:rsidP="007717D2">
      <w:pPr>
        <w:pStyle w:val="P2"/>
      </w:pPr>
      <w:r>
        <w:fldChar w:fldCharType="begin"/>
      </w:r>
      <w:r>
        <w:instrText xml:space="preserve"> XE "para2:N1CBD6:[P2" </w:instrText>
      </w:r>
      <w:r>
        <w:fldChar w:fldCharType="end"/>
      </w:r>
      <w:r>
        <w:t>(</w:t>
      </w:r>
      <w:r>
        <w:rPr>
          <w:i/>
          <w:iCs/>
        </w:rPr>
        <w:t>a</w:t>
      </w:r>
      <w:r>
        <w:t>)</w:t>
      </w:r>
      <w:r>
        <w:tab/>
        <w:t>by the Department for Work and Pensions, if the specified person is claiming in Great Britain, or</w:t>
      </w:r>
    </w:p>
    <w:p w:rsidR="007717D2" w:rsidRDefault="007717D2" w:rsidP="007717D2">
      <w:pPr>
        <w:pStyle w:val="P2"/>
      </w:pPr>
      <w:r>
        <w:fldChar w:fldCharType="begin"/>
      </w:r>
      <w:r>
        <w:instrText xml:space="preserve"> XE "para2:N1CBE0:[P2" </w:instrText>
      </w:r>
      <w:r>
        <w:fldChar w:fldCharType="end"/>
      </w:r>
      <w:r>
        <w:t>(</w:t>
      </w:r>
      <w:r>
        <w:rPr>
          <w:i/>
          <w:iCs/>
        </w:rPr>
        <w:t>b</w:t>
      </w:r>
      <w:r>
        <w:t>)</w:t>
      </w:r>
      <w:r>
        <w:tab/>
        <w:t>by the Department for Social Development, if the specified person is claiming in Northern Ireland.</w:t>
      </w:r>
    </w:p>
    <w:p w:rsidR="007717D2" w:rsidRDefault="007717D2" w:rsidP="007717D2">
      <w:pPr>
        <w:pStyle w:val="P1"/>
      </w:pPr>
      <w:r>
        <w:fldChar w:fldCharType="begin"/>
      </w:r>
      <w:r>
        <w:instrText xml:space="preserve"> XE "para1:N1CBEA:[P1" </w:instrText>
      </w:r>
      <w:r>
        <w:fldChar w:fldCharType="end"/>
      </w:r>
      <w:r>
        <w:t>(3)</w:t>
      </w:r>
      <w:r>
        <w:tab/>
        <w:t>For the purposes of this Order a “specified person” is a person who—</w:t>
      </w:r>
    </w:p>
    <w:p w:rsidR="007717D2" w:rsidRDefault="007717D2" w:rsidP="007717D2">
      <w:pPr>
        <w:pStyle w:val="P2"/>
      </w:pPr>
      <w:r>
        <w:lastRenderedPageBreak/>
        <w:fldChar w:fldCharType="begin"/>
      </w:r>
      <w:r>
        <w:instrText xml:space="preserve"> XE "para2:N1CBF0:[P2" </w:instrText>
      </w:r>
      <w:r>
        <w:fldChar w:fldCharType="end"/>
      </w:r>
      <w:r>
        <w:t>(</w:t>
      </w:r>
      <w:r>
        <w:rPr>
          <w:i/>
          <w:iCs/>
        </w:rPr>
        <w:t>a</w:t>
      </w:r>
      <w:r>
        <w:t>)</w:t>
      </w:r>
      <w:r>
        <w:tab/>
        <w:t>until the specified date was receiving the child premia, and</w:t>
      </w:r>
    </w:p>
    <w:p w:rsidR="007717D2" w:rsidRDefault="007717D2" w:rsidP="007717D2">
      <w:pPr>
        <w:pStyle w:val="P2"/>
      </w:pPr>
      <w:r>
        <w:fldChar w:fldCharType="begin"/>
      </w:r>
      <w:r>
        <w:instrText xml:space="preserve"> XE "para2:N1CBFA:[P2" </w:instrText>
      </w:r>
      <w:r>
        <w:fldChar w:fldCharType="end"/>
      </w:r>
      <w:r>
        <w:t>(</w:t>
      </w:r>
      <w:r>
        <w:rPr>
          <w:i/>
          <w:iCs/>
        </w:rPr>
        <w:t>b</w:t>
      </w:r>
      <w:r>
        <w:t>)</w:t>
      </w:r>
      <w:r>
        <w:tab/>
        <w:t>has not made a claim for child tax credit.</w:t>
      </w:r>
    </w:p>
    <w:p w:rsidR="007717D2" w:rsidRDefault="007717D2" w:rsidP="007717D2">
      <w:pPr>
        <w:pStyle w:val="PHDR"/>
      </w:pPr>
      <w:r>
        <w:fldChar w:fldCharType="begin"/>
      </w:r>
      <w:r>
        <w:instrText xml:space="preserve"> XE "provision:N1CC04:[PHDR" </w:instrText>
      </w:r>
      <w:r>
        <w:fldChar w:fldCharType="end"/>
      </w:r>
      <w:r>
        <w:t>3</w:t>
      </w:r>
      <w:r>
        <w:tab/>
        <w:t>Transitional provisions</w:t>
      </w:r>
    </w:p>
    <w:p w:rsidR="007717D2" w:rsidRDefault="007717D2" w:rsidP="007717D2">
      <w:pPr>
        <w:pStyle w:val="P1"/>
      </w:pPr>
      <w:r>
        <w:fldChar w:fldCharType="begin"/>
      </w:r>
      <w:r>
        <w:instrText xml:space="preserve"> XE "para1:N1CC2B:[P1" </w:instrText>
      </w:r>
      <w:r>
        <w:fldChar w:fldCharType="end"/>
      </w:r>
      <w:r>
        <w:t>(1)</w:t>
      </w:r>
      <w:r>
        <w:tab/>
        <w:t>Notwithstanding section 5(2) of the Tax Credits Act 2002, an award on a claim for child tax credit made by a person who until the specified date was receiving the child premia is for the period specified in paragraph (2)</w:t>
      </w:r>
    </w:p>
    <w:p w:rsidR="007717D2" w:rsidRDefault="007717D2" w:rsidP="007717D2">
      <w:pPr>
        <w:pStyle w:val="P1"/>
      </w:pPr>
      <w:r>
        <w:fldChar w:fldCharType="begin"/>
      </w:r>
      <w:r>
        <w:instrText xml:space="preserve"> XE "para1:N1CC31:[P1" </w:instrText>
      </w:r>
      <w:r>
        <w:fldChar w:fldCharType="end"/>
      </w:r>
      <w:r>
        <w:t>(2)</w:t>
      </w:r>
      <w:r>
        <w:tab/>
        <w:t>The period is a period beginning with the specified date and ending at the end of the tax year in which that date falls.</w:t>
      </w:r>
    </w:p>
    <w:p w:rsidR="007717D2" w:rsidRDefault="007717D2" w:rsidP="007717D2">
      <w:pPr>
        <w:pStyle w:val="P1"/>
      </w:pPr>
      <w:r>
        <w:fldChar w:fldCharType="begin"/>
      </w:r>
      <w:r>
        <w:instrText xml:space="preserve"> XE "para1:N1CC37:[P1" </w:instrText>
      </w:r>
      <w:r>
        <w:fldChar w:fldCharType="end"/>
      </w:r>
      <w:r>
        <w:t>(3)</w:t>
      </w:r>
      <w:r>
        <w:tab/>
        <w:t>Notwithstanding regulation 7 of the Tax Credits (Claims and Notifications) Regulations 2002, a person shall not be entitled to child tax credit in respect of any day prior to the day on which that person makes a claim for it (“the earlier day”) if—</w:t>
      </w:r>
    </w:p>
    <w:p w:rsidR="007717D2" w:rsidRDefault="007717D2" w:rsidP="007717D2">
      <w:pPr>
        <w:pStyle w:val="P2"/>
      </w:pPr>
      <w:r>
        <w:fldChar w:fldCharType="begin"/>
      </w:r>
      <w:r>
        <w:instrText xml:space="preserve"> XE "para2:N1CC3D:[P2" </w:instrText>
      </w:r>
      <w:r>
        <w:fldChar w:fldCharType="end"/>
      </w:r>
      <w:r>
        <w:t>[(</w:t>
      </w:r>
      <w:r>
        <w:rPr>
          <w:i/>
          <w:iCs/>
        </w:rPr>
        <w:t>a</w:t>
      </w:r>
      <w:r>
        <w:t>)</w:t>
      </w:r>
      <w:r>
        <w:tab/>
        <w:t>the earlier day falls before 31st December 2014, and]</w:t>
      </w:r>
      <w:r>
        <w:rPr>
          <w:rStyle w:val="endnoteid"/>
        </w:rPr>
        <w:t>1</w:t>
      </w:r>
      <w:r>
        <w:t xml:space="preserve"> </w:t>
      </w:r>
    </w:p>
    <w:p w:rsidR="007717D2" w:rsidRDefault="007717D2" w:rsidP="007717D2">
      <w:pPr>
        <w:pStyle w:val="P2"/>
      </w:pPr>
      <w:r>
        <w:fldChar w:fldCharType="begin"/>
      </w:r>
      <w:r>
        <w:instrText xml:space="preserve"> XE "para2:N1CC49:[P2" </w:instrText>
      </w:r>
      <w:r>
        <w:fldChar w:fldCharType="end"/>
      </w:r>
      <w:r>
        <w:t>(</w:t>
      </w:r>
      <w:r>
        <w:rPr>
          <w:i/>
          <w:iCs/>
        </w:rPr>
        <w:t>b</w:t>
      </w:r>
      <w:r>
        <w:t>)</w:t>
      </w:r>
      <w:r>
        <w:tab/>
        <w:t>the claimant is entitled, or in the case of a joint claim, either of the claimants is entitled, to the child premia on the earlier day.</w:t>
      </w:r>
    </w:p>
    <w:p w:rsidR="007717D2" w:rsidRDefault="007717D2" w:rsidP="007717D2">
      <w:pPr>
        <w:pStyle w:val="CommentB"/>
      </w:pPr>
      <w:r>
        <w:fldChar w:fldCharType="begin"/>
      </w:r>
      <w:r>
        <w:instrText xml:space="preserve"> XE "comment:N1CC53" </w:instrText>
      </w:r>
      <w:r>
        <w:fldChar w:fldCharType="end"/>
      </w:r>
      <w:r>
        <w:t>#CommentB</w:t>
      </w:r>
    </w:p>
    <w:p w:rsidR="007717D2" w:rsidRDefault="007717D2" w:rsidP="007717D2">
      <w:pPr>
        <w:pStyle w:val="n-GenericHead"/>
      </w:pPr>
      <w:r>
        <w:rPr>
          <w:b/>
          <w:bCs/>
        </w:rPr>
        <w:fldChar w:fldCharType="begin"/>
      </w:r>
      <w:r>
        <w:rPr>
          <w:b/>
          <w:bCs/>
        </w:rPr>
        <w:instrText xml:space="preserve"> XE "generic-hd:N1CC57:n-GenericHead" </w:instrText>
      </w:r>
      <w:r>
        <w:rPr>
          <w:b/>
          <w:bCs/>
        </w:rPr>
        <w:fldChar w:fldCharType="end"/>
      </w:r>
      <w:r>
        <w:rPr>
          <w:b/>
          <w:bCs/>
        </w:rPr>
        <w:t>Amendments—</w:t>
      </w:r>
      <w:r>
        <w:t xml:space="preserve"> </w:t>
      </w:r>
    </w:p>
    <w:p w:rsidR="007717D2" w:rsidRDefault="007717D2" w:rsidP="007717D2">
      <w:pPr>
        <w:pStyle w:val="EndnotesB"/>
      </w:pPr>
      <w:r>
        <w:fldChar w:fldCharType="begin"/>
      </w:r>
      <w:r>
        <w:instrText xml:space="preserve"> XE "endnotes:N1CC5A:EndnotesB" </w:instrText>
      </w:r>
      <w:r>
        <w:fldChar w:fldCharType="end"/>
      </w:r>
      <w:r>
        <w:t>#EndnotesB</w:t>
      </w:r>
    </w:p>
    <w:p w:rsidR="007717D2" w:rsidRDefault="007717D2" w:rsidP="007717D2">
      <w:pPr>
        <w:pStyle w:val="n-List1"/>
      </w:pPr>
      <w:r>
        <w:fldChar w:fldCharType="begin"/>
      </w:r>
      <w:r>
        <w:instrText xml:space="preserve"> XE "para:N1CC5D:n-List1" </w:instrText>
      </w:r>
      <w:r>
        <w:fldChar w:fldCharType="end"/>
      </w:r>
      <w:r>
        <w:t>1</w:t>
      </w:r>
      <w:r>
        <w:tab/>
        <w:t>Para (3)(</w:t>
      </w:r>
      <w:r>
        <w:rPr>
          <w:i/>
          <w:iCs/>
        </w:rPr>
        <w:t>a</w:t>
      </w:r>
      <w:r>
        <w:t>) substituted by the Tax Credits Act 2002 (Further Commencement and Transitional Provisions) Order, SI 2011/2910, art 3. Para (</w:t>
      </w:r>
      <w:r>
        <w:rPr>
          <w:i/>
          <w:iCs/>
        </w:rPr>
        <w:t>a</w:t>
      </w:r>
      <w:r>
        <w:t>) previously read as follows—</w:t>
      </w:r>
    </w:p>
    <w:p w:rsidR="007717D2" w:rsidRDefault="007717D2" w:rsidP="007717D2">
      <w:pPr>
        <w:pStyle w:val="n-List1Quote1"/>
      </w:pPr>
      <w:r>
        <w:fldChar w:fldCharType="begin"/>
      </w:r>
      <w:r>
        <w:instrText xml:space="preserve"> XE "para:N1CC68:n-List1Quote1" </w:instrText>
      </w:r>
      <w:r>
        <w:fldChar w:fldCharType="end"/>
      </w:r>
      <w:r>
        <w:t>“(</w:t>
      </w:r>
      <w:r>
        <w:rPr>
          <w:i/>
          <w:iCs/>
        </w:rPr>
        <w:t>a</w:t>
      </w:r>
      <w:r>
        <w:t>) the earlier day falls before 31st December 2011, and”.</w:t>
      </w:r>
    </w:p>
    <w:p w:rsidR="007717D2" w:rsidRDefault="007717D2" w:rsidP="007717D2">
      <w:pPr>
        <w:pStyle w:val="EndnotesE"/>
      </w:pPr>
      <w:r>
        <w:fldChar w:fldCharType="begin"/>
      </w:r>
      <w:r>
        <w:instrText xml:space="preserve"> XE "endnotes:N1CC5A:EndnotesE" </w:instrText>
      </w:r>
      <w:r>
        <w:fldChar w:fldCharType="end"/>
      </w:r>
      <w:r>
        <w:t>#EndnotesE</w:t>
      </w:r>
    </w:p>
    <w:p w:rsidR="007717D2" w:rsidRDefault="007717D2" w:rsidP="007717D2">
      <w:pPr>
        <w:pStyle w:val="CommentE"/>
      </w:pPr>
      <w:r>
        <w:fldChar w:fldCharType="begin"/>
      </w:r>
      <w:r>
        <w:instrText xml:space="preserve"> XE "comment:N1CC53" </w:instrText>
      </w:r>
      <w:r>
        <w:fldChar w:fldCharType="end"/>
      </w:r>
      <w:r>
        <w:t>#CommentE</w:t>
      </w:r>
    </w:p>
    <w:p w:rsidR="007717D2" w:rsidRDefault="007717D2" w:rsidP="007717D2">
      <w:pPr>
        <w:pStyle w:val="PHDR"/>
      </w:pPr>
      <w:r>
        <w:fldChar w:fldCharType="begin"/>
      </w:r>
      <w:r>
        <w:instrText xml:space="preserve"> XE "provision:N1CC6E:[PHDR" </w:instrText>
      </w:r>
      <w:r>
        <w:fldChar w:fldCharType="end"/>
      </w:r>
      <w:r>
        <w:t>4</w:t>
      </w:r>
      <w:r>
        <w:tab/>
        <w:t>Deemed claims for tax credits</w:t>
      </w:r>
    </w:p>
    <w:p w:rsidR="007717D2" w:rsidRDefault="007717D2" w:rsidP="007717D2">
      <w:pPr>
        <w:pStyle w:val="P1"/>
      </w:pPr>
      <w:r>
        <w:fldChar w:fldCharType="begin"/>
      </w:r>
      <w:r>
        <w:instrText xml:space="preserve"> XE "para1:N1CC95:[P1" </w:instrText>
      </w:r>
      <w:r>
        <w:fldChar w:fldCharType="end"/>
      </w:r>
      <w:r>
        <w:t>(1)</w:t>
      </w:r>
      <w:r>
        <w:tab/>
        <w:t>A claim shall be deemed to be made under section 3(1) of the Tax Credits Act 2002 if Her Majesty's Revenue and Customs receive a claim for child tax credit from the Department of Work and Pensions or the Department for Social Development and the claim—</w:t>
      </w:r>
    </w:p>
    <w:p w:rsidR="007717D2" w:rsidRDefault="007717D2" w:rsidP="007717D2">
      <w:pPr>
        <w:pStyle w:val="P2"/>
      </w:pPr>
      <w:r>
        <w:fldChar w:fldCharType="begin"/>
      </w:r>
      <w:r>
        <w:instrText xml:space="preserve"> XE "para2:N1CC9B:[P2" </w:instrText>
      </w:r>
      <w:r>
        <w:fldChar w:fldCharType="end"/>
      </w:r>
      <w:r>
        <w:t>(</w:t>
      </w:r>
      <w:r>
        <w:rPr>
          <w:i/>
          <w:iCs/>
        </w:rPr>
        <w:t>a</w:t>
      </w:r>
      <w:r>
        <w:t>)</w:t>
      </w:r>
      <w:r>
        <w:tab/>
        <w:t>is in respect of a specified person,</w:t>
      </w:r>
    </w:p>
    <w:p w:rsidR="007717D2" w:rsidRDefault="007717D2" w:rsidP="007717D2">
      <w:pPr>
        <w:pStyle w:val="P2"/>
      </w:pPr>
      <w:r>
        <w:fldChar w:fldCharType="begin"/>
      </w:r>
      <w:r>
        <w:instrText xml:space="preserve"> XE "para2:N1CCA5:[P2" </w:instrText>
      </w:r>
      <w:r>
        <w:fldChar w:fldCharType="end"/>
      </w:r>
      <w:r>
        <w:t>(</w:t>
      </w:r>
      <w:r>
        <w:rPr>
          <w:i/>
          <w:iCs/>
        </w:rPr>
        <w:t>b</w:t>
      </w:r>
      <w:r>
        <w:t>)</w:t>
      </w:r>
      <w:r>
        <w:tab/>
        <w:t>complies with regulation 5(2) of the Tax Credits (Claims and Notifications) Regulations 2002, and</w:t>
      </w:r>
    </w:p>
    <w:p w:rsidR="007717D2" w:rsidRDefault="007717D2" w:rsidP="007717D2">
      <w:pPr>
        <w:pStyle w:val="P2"/>
      </w:pPr>
      <w:r>
        <w:fldChar w:fldCharType="begin"/>
      </w:r>
      <w:r>
        <w:instrText xml:space="preserve"> XE "para2:N1CCAF:[P2" </w:instrText>
      </w:r>
      <w:r>
        <w:fldChar w:fldCharType="end"/>
      </w:r>
      <w:r>
        <w:t>(</w:t>
      </w:r>
      <w:r>
        <w:rPr>
          <w:i/>
          <w:iCs/>
        </w:rPr>
        <w:t>c</w:t>
      </w:r>
      <w:r>
        <w:t>)</w:t>
      </w:r>
      <w:r>
        <w:tab/>
        <w:t>contains the information required in paragraphs (3) to (5) of regulation 3 of those Regulations.</w:t>
      </w:r>
    </w:p>
    <w:p w:rsidR="007717D2" w:rsidRDefault="007717D2" w:rsidP="007717D2">
      <w:pPr>
        <w:pStyle w:val="P1"/>
      </w:pPr>
      <w:r>
        <w:fldChar w:fldCharType="begin"/>
      </w:r>
      <w:r>
        <w:instrText xml:space="preserve"> XE "para1:N1CCB9:[P1" </w:instrText>
      </w:r>
      <w:r>
        <w:fldChar w:fldCharType="end"/>
      </w:r>
      <w:r>
        <w:t>(2)</w:t>
      </w:r>
      <w:r>
        <w:tab/>
        <w:t>The claim shall be deemed to be made by the person in respect of whom it is made.</w:t>
      </w:r>
    </w:p>
    <w:p w:rsidR="007717D2" w:rsidRDefault="007717D2" w:rsidP="007717D2">
      <w:pPr>
        <w:pStyle w:val="P1"/>
      </w:pPr>
      <w:r>
        <w:fldChar w:fldCharType="begin"/>
      </w:r>
      <w:r>
        <w:instrText xml:space="preserve"> XE "para1:N1CCBF:[P1" </w:instrText>
      </w:r>
      <w:r>
        <w:fldChar w:fldCharType="end"/>
      </w:r>
      <w:r>
        <w:t>(3)</w:t>
      </w:r>
      <w:r>
        <w:tab/>
        <w:t>If the specified person is a member of a married couple or an unmarried couple or a polygamous unit, the specified person and the other member of the couple or member or members of the polygamous unit are treated as making a joint claim.</w:t>
      </w:r>
    </w:p>
    <w:p w:rsidR="007717D2" w:rsidRDefault="007717D2" w:rsidP="007717D2">
      <w:pPr>
        <w:pStyle w:val="P1"/>
      </w:pPr>
      <w:r>
        <w:fldChar w:fldCharType="begin"/>
      </w:r>
      <w:r>
        <w:instrText xml:space="preserve"> XE "para1:N1CCC5:[P1" </w:instrText>
      </w:r>
      <w:r>
        <w:fldChar w:fldCharType="end"/>
      </w:r>
      <w:r>
        <w:t>(4)</w:t>
      </w:r>
      <w:r>
        <w:tab/>
        <w:t>The specified person is treated as being responsible for the child or children or qualifying young person or persons to whom that person's entitlement to the child premia relates.</w:t>
      </w:r>
    </w:p>
    <w:p w:rsidR="007717D2" w:rsidRDefault="007717D2" w:rsidP="007717D2">
      <w:pPr>
        <w:pStyle w:val="P1"/>
      </w:pPr>
      <w:r>
        <w:fldChar w:fldCharType="begin"/>
      </w:r>
      <w:r>
        <w:instrText xml:space="preserve"> XE "para1:N1CCCB:[P1" </w:instrText>
      </w:r>
      <w:r>
        <w:fldChar w:fldCharType="end"/>
      </w:r>
      <w:r>
        <w:t>(5)</w:t>
      </w:r>
      <w:r>
        <w:tab/>
        <w:t>The claim shall be deemed to be made on the specified date.</w:t>
      </w:r>
    </w:p>
    <w:p w:rsidR="007717D2" w:rsidRDefault="007717D2" w:rsidP="007717D2">
      <w:pPr>
        <w:pStyle w:val="P1"/>
      </w:pPr>
      <w:r>
        <w:lastRenderedPageBreak/>
        <w:fldChar w:fldCharType="begin"/>
      </w:r>
      <w:r>
        <w:instrText xml:space="preserve"> XE "para1:N1CCD1:[P1" </w:instrText>
      </w:r>
      <w:r>
        <w:fldChar w:fldCharType="end"/>
      </w:r>
      <w:r>
        <w:t>(6)</w:t>
      </w:r>
      <w:r>
        <w:tab/>
        <w:t>This article is subject to article 3.</w:t>
      </w:r>
    </w:p>
    <w:p w:rsidR="007717D2" w:rsidRDefault="007717D2" w:rsidP="007717D2">
      <w:pPr>
        <w:pStyle w:val="PHDR"/>
      </w:pPr>
      <w:r>
        <w:fldChar w:fldCharType="begin"/>
      </w:r>
      <w:r>
        <w:instrText xml:space="preserve"> XE "provision:N1CCD7:[PHDR" </w:instrText>
      </w:r>
      <w:r>
        <w:fldChar w:fldCharType="end"/>
      </w:r>
      <w:r>
        <w:t>5</w:t>
      </w:r>
      <w:r>
        <w:tab/>
        <w:t>Revocation of previous commencement and transitional provisions orders</w:t>
      </w:r>
    </w:p>
    <w:p w:rsidR="007717D2" w:rsidRDefault="007717D2" w:rsidP="007717D2">
      <w:pPr>
        <w:pStyle w:val="P1"/>
      </w:pPr>
      <w:r>
        <w:fldChar w:fldCharType="begin"/>
      </w:r>
      <w:r>
        <w:instrText xml:space="preserve"> XE "para1:N1CCFE:[P1" </w:instrText>
      </w:r>
      <w:r>
        <w:fldChar w:fldCharType="end"/>
      </w:r>
      <w:r>
        <w:t>The instruments listed in the Table below are revoked to the extent specified in the third column of that Table.</w:t>
      </w:r>
    </w:p>
    <w:p w:rsidR="007717D2" w:rsidRDefault="007717D2" w:rsidP="007717D2">
      <w:pPr>
        <w:pStyle w:val="FTB"/>
      </w:pPr>
      <w:r>
        <w:fldChar w:fldCharType="begin"/>
      </w:r>
      <w:r>
        <w:instrText xml:space="preserve"> XE "table:N1CD02:FTB" </w:instrText>
      </w:r>
      <w:r>
        <w:fldChar w:fldCharType="end"/>
      </w:r>
      <w:r>
        <w:t>[FTB</w:t>
      </w:r>
    </w:p>
    <w:p w:rsidR="007717D2" w:rsidRDefault="007717D2" w:rsidP="007717D2">
      <w:pPr>
        <w:pStyle w:val="TableB"/>
      </w:pPr>
      <w:r>
        <w:fldChar w:fldCharType="begin"/>
      </w:r>
      <w:r>
        <w:instrText xml:space="preserve"> XE "table:N1CD02:TableE"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374"/>
        <w:gridCol w:w="1187"/>
        <w:gridCol w:w="1543"/>
      </w:tblGrid>
      <w:tr w:rsidR="007717D2" w:rsidTr="00D9401B">
        <w:trPr>
          <w:tblHeader/>
          <w:tblCellSpacing w:w="7" w:type="dxa"/>
        </w:trPr>
        <w:tc>
          <w:tcPr>
            <w:tcW w:w="0" w:type="auto"/>
            <w:tcBorders>
              <w:bottom w:val="single" w:sz="4" w:space="0" w:color="auto"/>
              <w:right w:val="single" w:sz="4" w:space="0" w:color="auto"/>
            </w:tcBorders>
            <w:hideMark/>
          </w:tcPr>
          <w:p w:rsidR="007717D2" w:rsidRDefault="007717D2" w:rsidP="00D9401B">
            <w:pPr>
              <w:pStyle w:val="Table"/>
            </w:pPr>
            <w:r>
              <w:fldChar w:fldCharType="begin"/>
            </w:r>
            <w:r>
              <w:instrText xml:space="preserve"> XE "entry:N1CD1F:Table" </w:instrText>
            </w:r>
            <w:r>
              <w:fldChar w:fldCharType="end"/>
            </w:r>
            <w:r>
              <w:fldChar w:fldCharType="begin"/>
            </w:r>
            <w:r>
              <w:instrText xml:space="preserve"> XE "para:N1CD24:Table" </w:instrText>
            </w:r>
            <w:r>
              <w:fldChar w:fldCharType="end"/>
            </w:r>
            <w:r>
              <w:t>(1)</w:t>
            </w:r>
          </w:p>
        </w:tc>
        <w:tc>
          <w:tcPr>
            <w:tcW w:w="0" w:type="auto"/>
            <w:tcBorders>
              <w:bottom w:val="single" w:sz="4" w:space="0" w:color="auto"/>
              <w:right w:val="single" w:sz="4" w:space="0" w:color="auto"/>
            </w:tcBorders>
            <w:hideMark/>
          </w:tcPr>
          <w:p w:rsidR="007717D2" w:rsidRDefault="007717D2" w:rsidP="00D9401B">
            <w:pPr>
              <w:pStyle w:val="Table"/>
            </w:pPr>
            <w:r>
              <w:fldChar w:fldCharType="begin"/>
            </w:r>
            <w:r>
              <w:instrText xml:space="preserve"> XE "entry:N1CD26:Table" </w:instrText>
            </w:r>
            <w:r>
              <w:fldChar w:fldCharType="end"/>
            </w:r>
            <w:r>
              <w:fldChar w:fldCharType="begin"/>
            </w:r>
            <w:r>
              <w:instrText xml:space="preserve"> XE "para:N1CD2B:Table" </w:instrText>
            </w:r>
            <w:r>
              <w:fldChar w:fldCharType="end"/>
            </w:r>
            <w:r>
              <w:t>(2)</w:t>
            </w:r>
          </w:p>
        </w:tc>
        <w:tc>
          <w:tcPr>
            <w:tcW w:w="0" w:type="auto"/>
            <w:tcBorders>
              <w:bottom w:val="single" w:sz="4" w:space="0" w:color="auto"/>
            </w:tcBorders>
            <w:hideMark/>
          </w:tcPr>
          <w:p w:rsidR="007717D2" w:rsidRDefault="007717D2" w:rsidP="00D9401B">
            <w:pPr>
              <w:pStyle w:val="Table"/>
            </w:pPr>
            <w:r>
              <w:fldChar w:fldCharType="begin"/>
            </w:r>
            <w:r>
              <w:instrText xml:space="preserve"> XE "entry:N1CD2D:Table" </w:instrText>
            </w:r>
            <w:r>
              <w:fldChar w:fldCharType="end"/>
            </w:r>
            <w:r>
              <w:fldChar w:fldCharType="begin"/>
            </w:r>
            <w:r>
              <w:instrText xml:space="preserve"> XE "para:N1CD32:Table" </w:instrText>
            </w:r>
            <w:r>
              <w:fldChar w:fldCharType="end"/>
            </w:r>
            <w:r>
              <w:t>(3)</w:t>
            </w:r>
          </w:p>
        </w:tc>
      </w:tr>
      <w:tr w:rsidR="007717D2" w:rsidTr="00D9401B">
        <w:trPr>
          <w:tblHeader/>
          <w:tblCellSpacing w:w="7" w:type="dxa"/>
        </w:trPr>
        <w:tc>
          <w:tcPr>
            <w:tcW w:w="0" w:type="auto"/>
            <w:tcBorders>
              <w:right w:val="single" w:sz="4" w:space="0" w:color="auto"/>
            </w:tcBorders>
            <w:hideMark/>
          </w:tcPr>
          <w:p w:rsidR="007717D2" w:rsidRDefault="007717D2" w:rsidP="00D9401B">
            <w:pPr>
              <w:pStyle w:val="Table"/>
            </w:pPr>
            <w:r>
              <w:fldChar w:fldCharType="begin"/>
            </w:r>
            <w:r>
              <w:instrText xml:space="preserve"> XE "entry:N1CD35:Table" </w:instrText>
            </w:r>
            <w:r>
              <w:fldChar w:fldCharType="end"/>
            </w:r>
            <w:r>
              <w:fldChar w:fldCharType="begin"/>
            </w:r>
            <w:r>
              <w:instrText xml:space="preserve"> XE "para:N1CD3A:Table" </w:instrText>
            </w:r>
            <w:r>
              <w:fldChar w:fldCharType="end"/>
            </w:r>
            <w:r>
              <w:t>Instruments revoked</w:t>
            </w:r>
          </w:p>
        </w:tc>
        <w:tc>
          <w:tcPr>
            <w:tcW w:w="0" w:type="auto"/>
            <w:tcBorders>
              <w:right w:val="single" w:sz="4" w:space="0" w:color="auto"/>
            </w:tcBorders>
            <w:hideMark/>
          </w:tcPr>
          <w:p w:rsidR="007717D2" w:rsidRDefault="007717D2" w:rsidP="00D9401B">
            <w:pPr>
              <w:pStyle w:val="Table"/>
            </w:pPr>
            <w:r>
              <w:fldChar w:fldCharType="begin"/>
            </w:r>
            <w:r>
              <w:instrText xml:space="preserve"> XE "entry:N1CD3C:Table" </w:instrText>
            </w:r>
            <w:r>
              <w:fldChar w:fldCharType="end"/>
            </w:r>
            <w:r>
              <w:fldChar w:fldCharType="begin"/>
            </w:r>
            <w:r>
              <w:instrText xml:space="preserve"> XE "para:N1CD41:Table" </w:instrText>
            </w:r>
            <w:r>
              <w:fldChar w:fldCharType="end"/>
            </w:r>
            <w:r>
              <w:t>References</w:t>
            </w:r>
          </w:p>
        </w:tc>
        <w:tc>
          <w:tcPr>
            <w:tcW w:w="0" w:type="auto"/>
            <w:hideMark/>
          </w:tcPr>
          <w:p w:rsidR="007717D2" w:rsidRDefault="007717D2" w:rsidP="00D9401B">
            <w:pPr>
              <w:pStyle w:val="Table"/>
            </w:pPr>
            <w:r>
              <w:fldChar w:fldCharType="begin"/>
            </w:r>
            <w:r>
              <w:instrText xml:space="preserve"> XE "entry:N1CD43:Table" </w:instrText>
            </w:r>
            <w:r>
              <w:fldChar w:fldCharType="end"/>
            </w:r>
            <w:r>
              <w:fldChar w:fldCharType="begin"/>
            </w:r>
            <w:r>
              <w:instrText xml:space="preserve"> XE "para:N1CD48:Table" </w:instrText>
            </w:r>
            <w:r>
              <w:fldChar w:fldCharType="end"/>
            </w:r>
            <w:r>
              <w:t>Extent of revocation</w:t>
            </w:r>
          </w:p>
        </w:tc>
      </w:tr>
      <w:tr w:rsidR="007717D2" w:rsidTr="00D9401B">
        <w:trPr>
          <w:tblCellSpacing w:w="7" w:type="dxa"/>
        </w:trPr>
        <w:tc>
          <w:tcPr>
            <w:tcW w:w="0" w:type="auto"/>
            <w:tcBorders>
              <w:bottom w:val="single" w:sz="4" w:space="0" w:color="auto"/>
              <w:right w:val="single" w:sz="4" w:space="0" w:color="auto"/>
            </w:tcBorders>
            <w:vAlign w:val="center"/>
            <w:hideMark/>
          </w:tcPr>
          <w:p w:rsidR="007717D2" w:rsidRDefault="007717D2" w:rsidP="00D9401B">
            <w:pPr>
              <w:pStyle w:val="Table"/>
            </w:pPr>
            <w:r>
              <w:fldChar w:fldCharType="begin"/>
            </w:r>
            <w:r>
              <w:instrText xml:space="preserve"> XE "entry:N1CD4D:Table" </w:instrText>
            </w:r>
            <w:r>
              <w:fldChar w:fldCharType="end"/>
            </w:r>
            <w:r>
              <w:fldChar w:fldCharType="begin"/>
            </w:r>
            <w:r>
              <w:instrText xml:space="preserve"> XE "para:N1CD52:Table" </w:instrText>
            </w:r>
            <w:r>
              <w:fldChar w:fldCharType="end"/>
            </w:r>
            <w:r>
              <w:t>The Tax Credits Act 2002 (Commencement No 4, Transitional Provisions and Savings) Order 2003</w:t>
            </w:r>
          </w:p>
        </w:tc>
        <w:tc>
          <w:tcPr>
            <w:tcW w:w="0" w:type="auto"/>
            <w:tcBorders>
              <w:bottom w:val="single" w:sz="4" w:space="0" w:color="auto"/>
              <w:right w:val="single" w:sz="4" w:space="0" w:color="auto"/>
            </w:tcBorders>
            <w:vAlign w:val="center"/>
            <w:hideMark/>
          </w:tcPr>
          <w:p w:rsidR="007717D2" w:rsidRDefault="007717D2" w:rsidP="00D9401B">
            <w:pPr>
              <w:pStyle w:val="Table"/>
            </w:pPr>
            <w:r>
              <w:fldChar w:fldCharType="begin"/>
            </w:r>
            <w:r>
              <w:instrText xml:space="preserve"> XE "entry:N1CD54:Table" </w:instrText>
            </w:r>
            <w:r>
              <w:fldChar w:fldCharType="end"/>
            </w:r>
            <w:r>
              <w:fldChar w:fldCharType="begin"/>
            </w:r>
            <w:r>
              <w:instrText xml:space="preserve"> XE "para:N1CD5A:Table" </w:instrText>
            </w:r>
            <w:r>
              <w:fldChar w:fldCharType="end"/>
            </w:r>
            <w:r>
              <w:t>SI 2003/962</w:t>
            </w:r>
          </w:p>
        </w:tc>
        <w:tc>
          <w:tcPr>
            <w:tcW w:w="0" w:type="auto"/>
            <w:tcBorders>
              <w:bottom w:val="single" w:sz="4" w:space="0" w:color="auto"/>
            </w:tcBorders>
            <w:vAlign w:val="center"/>
            <w:hideMark/>
          </w:tcPr>
          <w:p w:rsidR="007717D2" w:rsidRDefault="007717D2" w:rsidP="00D9401B">
            <w:pPr>
              <w:pStyle w:val="Table"/>
            </w:pPr>
            <w:r>
              <w:fldChar w:fldCharType="begin"/>
            </w:r>
            <w:r>
              <w:instrText xml:space="preserve"> XE "entry:N1CD5C:Table" </w:instrText>
            </w:r>
            <w:r>
              <w:fldChar w:fldCharType="end"/>
            </w:r>
            <w:r>
              <w:fldChar w:fldCharType="begin"/>
            </w:r>
            <w:r>
              <w:instrText xml:space="preserve"> XE "para:N1CD62:Table" </w:instrText>
            </w:r>
            <w:r>
              <w:fldChar w:fldCharType="end"/>
            </w:r>
            <w:r>
              <w:t>Article 5(4)</w:t>
            </w:r>
          </w:p>
        </w:tc>
      </w:tr>
      <w:tr w:rsidR="007717D2" w:rsidTr="00D9401B">
        <w:trPr>
          <w:tblCellSpacing w:w="7" w:type="dxa"/>
        </w:trPr>
        <w:tc>
          <w:tcPr>
            <w:tcW w:w="0" w:type="auto"/>
            <w:tcBorders>
              <w:bottom w:val="single" w:sz="4" w:space="0" w:color="auto"/>
              <w:right w:val="single" w:sz="4" w:space="0" w:color="auto"/>
            </w:tcBorders>
            <w:vAlign w:val="center"/>
            <w:hideMark/>
          </w:tcPr>
          <w:p w:rsidR="007717D2" w:rsidRDefault="007717D2" w:rsidP="00D9401B">
            <w:pPr>
              <w:pStyle w:val="Table"/>
            </w:pPr>
            <w:r>
              <w:fldChar w:fldCharType="begin"/>
            </w:r>
            <w:r>
              <w:instrText xml:space="preserve"> XE "entry:N1CD66:Table" </w:instrText>
            </w:r>
            <w:r>
              <w:fldChar w:fldCharType="end"/>
            </w:r>
            <w:r>
              <w:fldChar w:fldCharType="begin"/>
            </w:r>
            <w:r>
              <w:instrText xml:space="preserve"> XE "para:N1CD6B:Table" </w:instrText>
            </w:r>
            <w:r>
              <w:fldChar w:fldCharType="end"/>
            </w:r>
            <w:r>
              <w:t>The Tax Credits Act 2002 (Transitional Provisions) Order 2005</w:t>
            </w:r>
          </w:p>
        </w:tc>
        <w:tc>
          <w:tcPr>
            <w:tcW w:w="0" w:type="auto"/>
            <w:tcBorders>
              <w:bottom w:val="single" w:sz="4" w:space="0" w:color="auto"/>
              <w:right w:val="single" w:sz="4" w:space="0" w:color="auto"/>
            </w:tcBorders>
            <w:vAlign w:val="center"/>
            <w:hideMark/>
          </w:tcPr>
          <w:p w:rsidR="007717D2" w:rsidRDefault="007717D2" w:rsidP="00D9401B">
            <w:pPr>
              <w:pStyle w:val="Table"/>
            </w:pPr>
            <w:r>
              <w:fldChar w:fldCharType="begin"/>
            </w:r>
            <w:r>
              <w:instrText xml:space="preserve"> XE "entry:N1CD6D:Table" </w:instrText>
            </w:r>
            <w:r>
              <w:fldChar w:fldCharType="end"/>
            </w:r>
            <w:r>
              <w:fldChar w:fldCharType="begin"/>
            </w:r>
            <w:r>
              <w:instrText xml:space="preserve"> XE "para:N1CD73:Table" </w:instrText>
            </w:r>
            <w:r>
              <w:fldChar w:fldCharType="end"/>
            </w:r>
            <w:r>
              <w:t>SI 2005/773</w:t>
            </w:r>
          </w:p>
        </w:tc>
        <w:tc>
          <w:tcPr>
            <w:tcW w:w="0" w:type="auto"/>
            <w:tcBorders>
              <w:bottom w:val="single" w:sz="4" w:space="0" w:color="auto"/>
            </w:tcBorders>
            <w:vAlign w:val="center"/>
            <w:hideMark/>
          </w:tcPr>
          <w:p w:rsidR="007717D2" w:rsidRDefault="007717D2" w:rsidP="00D9401B">
            <w:pPr>
              <w:pStyle w:val="Table"/>
            </w:pPr>
            <w:r>
              <w:fldChar w:fldCharType="begin"/>
            </w:r>
            <w:r>
              <w:instrText xml:space="preserve"> XE "entry:N1CD75:Table" </w:instrText>
            </w:r>
            <w:r>
              <w:fldChar w:fldCharType="end"/>
            </w:r>
            <w:r>
              <w:fldChar w:fldCharType="begin"/>
            </w:r>
            <w:r>
              <w:instrText xml:space="preserve"> XE "para:N1CD7B:Table" </w:instrText>
            </w:r>
            <w:r>
              <w:fldChar w:fldCharType="end"/>
            </w:r>
            <w:r>
              <w:t>The whole Order</w:t>
            </w:r>
          </w:p>
        </w:tc>
      </w:tr>
      <w:tr w:rsidR="007717D2" w:rsidTr="00D9401B">
        <w:trPr>
          <w:tblCellSpacing w:w="7" w:type="dxa"/>
        </w:trPr>
        <w:tc>
          <w:tcPr>
            <w:tcW w:w="0" w:type="auto"/>
            <w:tcBorders>
              <w:bottom w:val="single" w:sz="4" w:space="0" w:color="auto"/>
              <w:right w:val="single" w:sz="4" w:space="0" w:color="auto"/>
            </w:tcBorders>
            <w:vAlign w:val="center"/>
            <w:hideMark/>
          </w:tcPr>
          <w:p w:rsidR="007717D2" w:rsidRDefault="007717D2" w:rsidP="00D9401B">
            <w:pPr>
              <w:pStyle w:val="Table"/>
            </w:pPr>
            <w:r>
              <w:fldChar w:fldCharType="begin"/>
            </w:r>
            <w:r>
              <w:instrText xml:space="preserve"> XE "entry:N1CD7F:Table" </w:instrText>
            </w:r>
            <w:r>
              <w:fldChar w:fldCharType="end"/>
            </w:r>
            <w:r>
              <w:fldChar w:fldCharType="begin"/>
            </w:r>
            <w:r>
              <w:instrText xml:space="preserve"> XE "para:N1CD84:Table" </w:instrText>
            </w:r>
            <w:r>
              <w:fldChar w:fldCharType="end"/>
            </w:r>
            <w:r>
              <w:t>The Tax Credits Act 2002 (Commencement and Transitional Provisions) Order 2006</w:t>
            </w:r>
          </w:p>
        </w:tc>
        <w:tc>
          <w:tcPr>
            <w:tcW w:w="0" w:type="auto"/>
            <w:tcBorders>
              <w:bottom w:val="single" w:sz="4" w:space="0" w:color="auto"/>
              <w:right w:val="single" w:sz="4" w:space="0" w:color="auto"/>
            </w:tcBorders>
            <w:vAlign w:val="center"/>
            <w:hideMark/>
          </w:tcPr>
          <w:p w:rsidR="007717D2" w:rsidRDefault="007717D2" w:rsidP="00D9401B">
            <w:pPr>
              <w:pStyle w:val="Table"/>
            </w:pPr>
            <w:r>
              <w:fldChar w:fldCharType="begin"/>
            </w:r>
            <w:r>
              <w:instrText xml:space="preserve"> XE "entry:N1CD86:Table" </w:instrText>
            </w:r>
            <w:r>
              <w:fldChar w:fldCharType="end"/>
            </w:r>
            <w:r>
              <w:fldChar w:fldCharType="begin"/>
            </w:r>
            <w:r>
              <w:instrText xml:space="preserve"> XE "para:N1CD8C:Table" </w:instrText>
            </w:r>
            <w:r>
              <w:fldChar w:fldCharType="end"/>
            </w:r>
            <w:r>
              <w:t>SI 2006/3369</w:t>
            </w:r>
          </w:p>
        </w:tc>
        <w:tc>
          <w:tcPr>
            <w:tcW w:w="0" w:type="auto"/>
            <w:tcBorders>
              <w:bottom w:val="single" w:sz="4" w:space="0" w:color="auto"/>
            </w:tcBorders>
            <w:vAlign w:val="center"/>
            <w:hideMark/>
          </w:tcPr>
          <w:p w:rsidR="007717D2" w:rsidRDefault="007717D2" w:rsidP="00D9401B">
            <w:pPr>
              <w:pStyle w:val="Table"/>
            </w:pPr>
            <w:r>
              <w:fldChar w:fldCharType="begin"/>
            </w:r>
            <w:r>
              <w:instrText xml:space="preserve"> XE "entry:N1CD8E:Table" </w:instrText>
            </w:r>
            <w:r>
              <w:fldChar w:fldCharType="end"/>
            </w:r>
            <w:r>
              <w:fldChar w:fldCharType="begin"/>
            </w:r>
            <w:r>
              <w:instrText xml:space="preserve"> XE "para:N1CD94:Table" </w:instrText>
            </w:r>
            <w:r>
              <w:fldChar w:fldCharType="end"/>
            </w:r>
            <w:r>
              <w:t>The whole Order</w:t>
            </w:r>
          </w:p>
        </w:tc>
      </w:tr>
      <w:tr w:rsidR="007717D2" w:rsidTr="00D9401B">
        <w:trPr>
          <w:tblCellSpacing w:w="7" w:type="dxa"/>
        </w:trPr>
        <w:tc>
          <w:tcPr>
            <w:tcW w:w="0" w:type="auto"/>
            <w:tcBorders>
              <w:right w:val="single" w:sz="4" w:space="0" w:color="auto"/>
            </w:tcBorders>
            <w:vAlign w:val="center"/>
            <w:hideMark/>
          </w:tcPr>
          <w:p w:rsidR="007717D2" w:rsidRDefault="007717D2" w:rsidP="00D9401B">
            <w:pPr>
              <w:pStyle w:val="Table"/>
            </w:pPr>
            <w:r>
              <w:fldChar w:fldCharType="begin"/>
            </w:r>
            <w:r>
              <w:instrText xml:space="preserve"> XE "entry:N1CD98:Table" </w:instrText>
            </w:r>
            <w:r>
              <w:fldChar w:fldCharType="end"/>
            </w:r>
            <w:r>
              <w:fldChar w:fldCharType="begin"/>
            </w:r>
            <w:r>
              <w:instrText xml:space="preserve"> XE "para:N1CD9D:Table" </w:instrText>
            </w:r>
            <w:r>
              <w:fldChar w:fldCharType="end"/>
            </w:r>
            <w:r>
              <w:t>The Tax Credits Act 2002 (Transitional Provisions) Order 2008</w:t>
            </w:r>
          </w:p>
        </w:tc>
        <w:tc>
          <w:tcPr>
            <w:tcW w:w="0" w:type="auto"/>
            <w:tcBorders>
              <w:right w:val="single" w:sz="4" w:space="0" w:color="auto"/>
            </w:tcBorders>
            <w:vAlign w:val="center"/>
            <w:hideMark/>
          </w:tcPr>
          <w:p w:rsidR="007717D2" w:rsidRDefault="007717D2" w:rsidP="00D9401B">
            <w:pPr>
              <w:pStyle w:val="Table"/>
            </w:pPr>
            <w:r>
              <w:fldChar w:fldCharType="begin"/>
            </w:r>
            <w:r>
              <w:instrText xml:space="preserve"> XE "entry:N1CD9F:Table" </w:instrText>
            </w:r>
            <w:r>
              <w:fldChar w:fldCharType="end"/>
            </w:r>
            <w:r>
              <w:fldChar w:fldCharType="begin"/>
            </w:r>
            <w:r>
              <w:instrText xml:space="preserve"> XE "para:N1CDA5:Table" </w:instrText>
            </w:r>
            <w:r>
              <w:fldChar w:fldCharType="end"/>
            </w:r>
            <w:r>
              <w:t>SI 2008/3151</w:t>
            </w:r>
          </w:p>
        </w:tc>
        <w:tc>
          <w:tcPr>
            <w:tcW w:w="0" w:type="auto"/>
            <w:vAlign w:val="center"/>
            <w:hideMark/>
          </w:tcPr>
          <w:p w:rsidR="007717D2" w:rsidRDefault="007717D2" w:rsidP="00D9401B">
            <w:pPr>
              <w:pStyle w:val="Table"/>
            </w:pPr>
            <w:r>
              <w:fldChar w:fldCharType="begin"/>
            </w:r>
            <w:r>
              <w:instrText xml:space="preserve"> XE "entry:N1CDA7:Table" </w:instrText>
            </w:r>
            <w:r>
              <w:fldChar w:fldCharType="end"/>
            </w:r>
            <w:r>
              <w:fldChar w:fldCharType="begin"/>
            </w:r>
            <w:r>
              <w:instrText xml:space="preserve"> XE "para:N1CDAD:Table" </w:instrText>
            </w:r>
            <w:r>
              <w:fldChar w:fldCharType="end"/>
            </w:r>
            <w:r>
              <w:t>Articles 2 and 3(3)</w:t>
            </w:r>
          </w:p>
        </w:tc>
      </w:tr>
    </w:tbl>
    <w:p w:rsidR="007717D2" w:rsidRDefault="007717D2" w:rsidP="007717D2">
      <w:pPr>
        <w:pStyle w:val="TableE"/>
      </w:pPr>
      <w:r>
        <w:fldChar w:fldCharType="begin"/>
      </w:r>
      <w:r>
        <w:instrText xml:space="preserve"> XE "table:N1CD02:TableE" </w:instrText>
      </w:r>
      <w:r>
        <w:fldChar w:fldCharType="end"/>
      </w:r>
      <w:r>
        <w:t>#TableE</w:t>
      </w:r>
    </w:p>
    <w:p w:rsidR="007717D2" w:rsidRDefault="007717D2" w:rsidP="007717D2">
      <w:pPr>
        <w:pStyle w:val="FTE"/>
      </w:pPr>
      <w:r>
        <w:fldChar w:fldCharType="begin"/>
      </w:r>
      <w:r>
        <w:instrText xml:space="preserve"> XE "table:N1CD02:FTE" </w:instrText>
      </w:r>
      <w:r>
        <w:fldChar w:fldCharType="end"/>
      </w:r>
      <w:r>
        <w:t>[FTE</w:t>
      </w:r>
    </w:p>
    <w:p w:rsidR="00745DC2" w:rsidRDefault="007717D2">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D2"/>
    <w:rsid w:val="006A35F9"/>
    <w:rsid w:val="007717D2"/>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D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7717D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7717D2"/>
    <w:pPr>
      <w:tabs>
        <w:tab w:val="left" w:pos="567"/>
      </w:tabs>
      <w:spacing w:before="120"/>
    </w:pPr>
    <w:rPr>
      <w:sz w:val="24"/>
      <w:lang w:eastAsia="en-GB"/>
    </w:rPr>
  </w:style>
  <w:style w:type="paragraph" w:customStyle="1" w:styleId="n-List1">
    <w:name w:val="n-List1"/>
    <w:rsid w:val="007717D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Quote1">
    <w:name w:val="n-List1Quote1"/>
    <w:autoRedefine/>
    <w:rsid w:val="007717D2"/>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TableB">
    <w:name w:val="#TableB"/>
    <w:rsid w:val="007717D2"/>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7717D2"/>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7717D2"/>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7717D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717D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7717D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717D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7717D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7717D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7717D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717D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7717D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7717D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7717D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717D2"/>
    <w:pPr>
      <w:spacing w:before="240" w:after="0" w:line="240" w:lineRule="auto"/>
    </w:pPr>
    <w:rPr>
      <w:rFonts w:ascii="Arial" w:eastAsia="Times New Roman" w:hAnsi="Arial" w:cs="Times New Roman"/>
      <w:sz w:val="20"/>
      <w:szCs w:val="20"/>
      <w:lang w:eastAsia="en-GB"/>
    </w:rPr>
  </w:style>
  <w:style w:type="paragraph" w:customStyle="1" w:styleId="P2">
    <w:name w:val="[P2"/>
    <w:rsid w:val="007717D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717D2"/>
    <w:pPr>
      <w:spacing w:before="240" w:after="0" w:line="240" w:lineRule="auto"/>
      <w:ind w:left="1701" w:hanging="567"/>
    </w:pPr>
    <w:rPr>
      <w:rFonts w:ascii="Arial" w:eastAsia="Times New Roman" w:hAnsi="Arial" w:cs="Times New Roman"/>
      <w:sz w:val="20"/>
      <w:szCs w:val="20"/>
      <w:lang w:eastAsia="en-GB"/>
    </w:rPr>
  </w:style>
  <w:style w:type="paragraph" w:customStyle="1" w:styleId="FTB">
    <w:name w:val="[FTB"/>
    <w:rsid w:val="007717D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7717D2"/>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7717D2"/>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D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7717D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7717D2"/>
    <w:pPr>
      <w:tabs>
        <w:tab w:val="left" w:pos="567"/>
      </w:tabs>
      <w:spacing w:before="120"/>
    </w:pPr>
    <w:rPr>
      <w:sz w:val="24"/>
      <w:lang w:eastAsia="en-GB"/>
    </w:rPr>
  </w:style>
  <w:style w:type="paragraph" w:customStyle="1" w:styleId="n-List1">
    <w:name w:val="n-List1"/>
    <w:rsid w:val="007717D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Quote1">
    <w:name w:val="n-List1Quote1"/>
    <w:autoRedefine/>
    <w:rsid w:val="007717D2"/>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TableB">
    <w:name w:val="#TableB"/>
    <w:rsid w:val="007717D2"/>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7717D2"/>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7717D2"/>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7717D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717D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7717D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717D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7717D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7717D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7717D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717D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7717D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7717D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7717D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717D2"/>
    <w:pPr>
      <w:spacing w:before="240" w:after="0" w:line="240" w:lineRule="auto"/>
    </w:pPr>
    <w:rPr>
      <w:rFonts w:ascii="Arial" w:eastAsia="Times New Roman" w:hAnsi="Arial" w:cs="Times New Roman"/>
      <w:sz w:val="20"/>
      <w:szCs w:val="20"/>
      <w:lang w:eastAsia="en-GB"/>
    </w:rPr>
  </w:style>
  <w:style w:type="paragraph" w:customStyle="1" w:styleId="P2">
    <w:name w:val="[P2"/>
    <w:rsid w:val="007717D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717D2"/>
    <w:pPr>
      <w:spacing w:before="240" w:after="0" w:line="240" w:lineRule="auto"/>
      <w:ind w:left="1701" w:hanging="567"/>
    </w:pPr>
    <w:rPr>
      <w:rFonts w:ascii="Arial" w:eastAsia="Times New Roman" w:hAnsi="Arial" w:cs="Times New Roman"/>
      <w:sz w:val="20"/>
      <w:szCs w:val="20"/>
      <w:lang w:eastAsia="en-GB"/>
    </w:rPr>
  </w:style>
  <w:style w:type="paragraph" w:customStyle="1" w:styleId="FTB">
    <w:name w:val="[FTB"/>
    <w:rsid w:val="007717D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7717D2"/>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7717D2"/>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2015-02-10T11:47:00Z</dcterms:created>
  <dcterms:modified xsi:type="dcterms:W3CDTF">2015-02-10T11:47:00Z</dcterms:modified>
</cp:coreProperties>
</file>