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AA0" w:rsidRDefault="006C2AA0" w:rsidP="006C2AA0">
      <w:pPr>
        <w:pStyle w:val="SNUM"/>
      </w:pPr>
      <w:r>
        <w:fldChar w:fldCharType="begin"/>
      </w:r>
      <w:r>
        <w:instrText xml:space="preserve"> XE "officialnum:N21A08:[SNUM" </w:instrText>
      </w:r>
      <w:r>
        <w:fldChar w:fldCharType="end"/>
      </w:r>
      <w:r>
        <w:t>2014/3280</w:t>
      </w:r>
    </w:p>
    <w:p w:rsidR="006C2AA0" w:rsidRDefault="006C2AA0" w:rsidP="006C2AA0">
      <w:pPr>
        <w:pStyle w:val="TTL"/>
      </w:pPr>
      <w:r>
        <w:fldChar w:fldCharType="begin"/>
      </w:r>
      <w:r>
        <w:instrText xml:space="preserve"> XE "title:N21A0F:[TTL" </w:instrText>
      </w:r>
      <w:r>
        <w:fldChar w:fldCharType="end"/>
      </w:r>
      <w:r>
        <w:t>Tax Credits (Exercise of Functions) Order 2014</w:t>
      </w:r>
    </w:p>
    <w:p w:rsidR="006C2AA0" w:rsidRDefault="006C2AA0" w:rsidP="006C2AA0">
      <w:pPr>
        <w:pStyle w:val="MADE"/>
      </w:pPr>
      <w:r>
        <w:fldChar w:fldCharType="begin"/>
      </w:r>
      <w:r>
        <w:instrText xml:space="preserve"> XE "made:N21A12:[MADE" </w:instrText>
      </w:r>
      <w:r>
        <w:fldChar w:fldCharType="end"/>
      </w:r>
      <w:r>
        <w:t>Made</w:t>
      </w:r>
      <w:r>
        <w:tab/>
        <w:t>10 December 2014</w:t>
      </w:r>
    </w:p>
    <w:p w:rsidR="006C2AA0" w:rsidRDefault="006C2AA0" w:rsidP="006C2AA0">
      <w:pPr>
        <w:pStyle w:val="LAID"/>
      </w:pPr>
      <w:r>
        <w:fldChar w:fldCharType="begin"/>
      </w:r>
      <w:r>
        <w:instrText xml:space="preserve"> XE "laid:N21A18:[LAID" </w:instrText>
      </w:r>
      <w:r>
        <w:fldChar w:fldCharType="end"/>
      </w:r>
      <w:r>
        <w:t xml:space="preserve">Laid before Parliament </w:t>
      </w:r>
      <w:r>
        <w:tab/>
        <w:t>17 December 2014</w:t>
      </w:r>
    </w:p>
    <w:p w:rsidR="006C2AA0" w:rsidRDefault="006C2AA0" w:rsidP="006C2AA0">
      <w:pPr>
        <w:pStyle w:val="OPER"/>
      </w:pPr>
      <w:r>
        <w:fldChar w:fldCharType="begin"/>
      </w:r>
      <w:r>
        <w:instrText xml:space="preserve"> XE "operation:N21A1E:[OPER" </w:instrText>
      </w:r>
      <w:r>
        <w:fldChar w:fldCharType="end"/>
      </w:r>
      <w:r>
        <w:t xml:space="preserve">Coming into force </w:t>
      </w:r>
      <w:r>
        <w:tab/>
        <w:t>1 April 2015</w:t>
      </w:r>
    </w:p>
    <w:p w:rsidR="006C2AA0" w:rsidRDefault="006C2AA0" w:rsidP="006C2AA0">
      <w:pPr>
        <w:pStyle w:val="ENAR"/>
      </w:pPr>
      <w:r>
        <w:fldChar w:fldCharType="begin"/>
      </w:r>
      <w:r>
        <w:instrText xml:space="preserve"> XE "enactment-recital:N21A24:[ENAR" </w:instrText>
      </w:r>
      <w:r>
        <w:fldChar w:fldCharType="end"/>
      </w:r>
      <w:r>
        <w:t>At the Court at Buckingham Palace, the 10th day of December 2014</w:t>
      </w:r>
    </w:p>
    <w:p w:rsidR="006C2AA0" w:rsidRDefault="006C2AA0" w:rsidP="006C2AA0">
      <w:pPr>
        <w:pStyle w:val="ENAR"/>
      </w:pPr>
      <w:r>
        <w:fldChar w:fldCharType="begin"/>
      </w:r>
      <w:r>
        <w:instrText xml:space="preserve"> XE "enactment-recital:N21A28:[ENAR" </w:instrText>
      </w:r>
      <w:r>
        <w:fldChar w:fldCharType="end"/>
      </w:r>
      <w:r>
        <w:t>Present,</w:t>
      </w:r>
    </w:p>
    <w:p w:rsidR="006C2AA0" w:rsidRDefault="006C2AA0" w:rsidP="006C2AA0">
      <w:pPr>
        <w:pStyle w:val="ENAR"/>
      </w:pPr>
      <w:r>
        <w:fldChar w:fldCharType="begin"/>
      </w:r>
      <w:r>
        <w:instrText xml:space="preserve"> XE "enactment-recital:N21A2C:[ENAR" </w:instrText>
      </w:r>
      <w:r>
        <w:fldChar w:fldCharType="end"/>
      </w:r>
      <w:r>
        <w:t>The Queen’s Most Excellent Majesty in Council</w:t>
      </w:r>
    </w:p>
    <w:p w:rsidR="006C2AA0" w:rsidRDefault="006C2AA0" w:rsidP="006C2AA0">
      <w:pPr>
        <w:pStyle w:val="PREA"/>
      </w:pPr>
      <w:r>
        <w:fldChar w:fldCharType="begin"/>
      </w:r>
      <w:r>
        <w:instrText xml:space="preserve"> XE "preamble:N21A30:PREA" </w:instrText>
      </w:r>
      <w:r>
        <w:fldChar w:fldCharType="end"/>
      </w:r>
      <w:r>
        <w:t>[PREA</w:t>
      </w:r>
    </w:p>
    <w:p w:rsidR="006C2AA0" w:rsidRDefault="006C2AA0" w:rsidP="006C2AA0">
      <w:pPr>
        <w:pStyle w:val="P1"/>
      </w:pPr>
      <w:r>
        <w:fldChar w:fldCharType="begin"/>
      </w:r>
      <w:r>
        <w:instrText xml:space="preserve"> XE "para1:N21A33:[P1" </w:instrText>
      </w:r>
      <w:r>
        <w:fldChar w:fldCharType="end"/>
      </w:r>
      <w:r>
        <w:t>This Order in Council is made in exercise of the powers conferred by section 126(1), (2), (3)(a) and (b)(</w:t>
      </w:r>
      <w:proofErr w:type="spellStart"/>
      <w:r>
        <w:t>i</w:t>
      </w:r>
      <w:proofErr w:type="spellEnd"/>
      <w:r>
        <w:t>) and (9) of the Welfare Reform Act 2012.</w:t>
      </w:r>
    </w:p>
    <w:p w:rsidR="006C2AA0" w:rsidRDefault="006C2AA0" w:rsidP="006C2AA0">
      <w:pPr>
        <w:pStyle w:val="P1"/>
      </w:pPr>
      <w:r>
        <w:fldChar w:fldCharType="begin"/>
      </w:r>
      <w:r>
        <w:instrText xml:space="preserve"> XE "para1:N21A37:[P1" </w:instrText>
      </w:r>
      <w:r>
        <w:fldChar w:fldCharType="end"/>
      </w:r>
      <w:r>
        <w:t>Accordingly, Her Majesty is pleased, by and with the advice of Her Privy Council to order as follows:</w:t>
      </w:r>
    </w:p>
    <w:p w:rsidR="006C2AA0" w:rsidRDefault="006C2AA0" w:rsidP="006C2AA0">
      <w:pPr>
        <w:pStyle w:val="MAIN"/>
      </w:pPr>
      <w:r>
        <w:fldChar w:fldCharType="begin"/>
      </w:r>
      <w:r>
        <w:instrText xml:space="preserve"> XE "main:N21A3B:MAIN" </w:instrText>
      </w:r>
      <w:r>
        <w:fldChar w:fldCharType="end"/>
      </w:r>
      <w:r>
        <w:t>[MAIN</w:t>
      </w:r>
    </w:p>
    <w:p w:rsidR="006C2AA0" w:rsidRDefault="006C2AA0" w:rsidP="006C2AA0">
      <w:pPr>
        <w:pStyle w:val="PHDR"/>
      </w:pPr>
      <w:r>
        <w:fldChar w:fldCharType="begin"/>
      </w:r>
      <w:r>
        <w:instrText xml:space="preserve"> XE "provision:N21A54:[PHDR" </w:instrText>
      </w:r>
      <w:r>
        <w:fldChar w:fldCharType="end"/>
      </w:r>
      <w:r>
        <w:t>1</w:t>
      </w:r>
      <w:r>
        <w:tab/>
        <w:t>Citation and commencement</w:t>
      </w:r>
    </w:p>
    <w:p w:rsidR="006C2AA0" w:rsidRDefault="006C2AA0" w:rsidP="006C2AA0">
      <w:pPr>
        <w:pStyle w:val="P1"/>
      </w:pPr>
      <w:r>
        <w:fldChar w:fldCharType="begin"/>
      </w:r>
      <w:r>
        <w:instrText xml:space="preserve"> XE "para1:N21A8A:[P1" </w:instrText>
      </w:r>
      <w:r>
        <w:fldChar w:fldCharType="end"/>
      </w:r>
      <w:r>
        <w:t>This Order may be cited as the Tax Credits (Exercise of Functions) Order 2014 and comes into force on 1st April 2015.</w:t>
      </w:r>
    </w:p>
    <w:p w:rsidR="006C2AA0" w:rsidRDefault="006C2AA0" w:rsidP="006C2AA0">
      <w:pPr>
        <w:pStyle w:val="PHDR"/>
      </w:pPr>
      <w:r>
        <w:fldChar w:fldCharType="begin"/>
      </w:r>
      <w:r>
        <w:instrText xml:space="preserve"> XE "provision:N21A8E:[PHDR" </w:instrText>
      </w:r>
      <w:r>
        <w:fldChar w:fldCharType="end"/>
      </w:r>
      <w:r>
        <w:t>2</w:t>
      </w:r>
      <w:r>
        <w:tab/>
        <w:t>Interpretation</w:t>
      </w:r>
    </w:p>
    <w:p w:rsidR="006C2AA0" w:rsidRDefault="006C2AA0" w:rsidP="006C2AA0">
      <w:pPr>
        <w:pStyle w:val="P1"/>
      </w:pPr>
      <w:r>
        <w:fldChar w:fldCharType="begin"/>
      </w:r>
      <w:r>
        <w:instrText xml:space="preserve"> XE "para1:N21AC4:[P1" </w:instrText>
      </w:r>
      <w:r>
        <w:fldChar w:fldCharType="end"/>
      </w:r>
      <w:r>
        <w:t>(1)</w:t>
      </w:r>
      <w:r>
        <w:tab/>
        <w:t>In this Order—</w:t>
      </w:r>
    </w:p>
    <w:p w:rsidR="006C2AA0" w:rsidRDefault="006C2AA0" w:rsidP="006C2AA0">
      <w:pPr>
        <w:pStyle w:val="P2"/>
      </w:pPr>
      <w:r>
        <w:fldChar w:fldCharType="begin"/>
      </w:r>
      <w:r>
        <w:instrText xml:space="preserve"> XE "para2:N21ACA:[P2" </w:instrText>
      </w:r>
      <w:r>
        <w:fldChar w:fldCharType="end"/>
      </w:r>
      <w:r>
        <w:t>“the 2002 Act” means the Tax Credits Act 2002;</w:t>
      </w:r>
    </w:p>
    <w:p w:rsidR="006C2AA0" w:rsidRDefault="006C2AA0" w:rsidP="006C2AA0">
      <w:pPr>
        <w:pStyle w:val="P2"/>
      </w:pPr>
      <w:r>
        <w:fldChar w:fldCharType="begin"/>
      </w:r>
      <w:r>
        <w:instrText xml:space="preserve"> XE "para2:N21ACE:[P2" </w:instrText>
      </w:r>
      <w:r>
        <w:fldChar w:fldCharType="end"/>
      </w:r>
      <w:r>
        <w:t>“the Administration Act” means the Social Security Administration Act 1992;</w:t>
      </w:r>
    </w:p>
    <w:p w:rsidR="006C2AA0" w:rsidRDefault="006C2AA0" w:rsidP="006C2AA0">
      <w:pPr>
        <w:pStyle w:val="P2"/>
      </w:pPr>
      <w:r>
        <w:fldChar w:fldCharType="begin"/>
      </w:r>
      <w:r>
        <w:instrText xml:space="preserve"> XE "para2:N21AD2:[P2" </w:instrText>
      </w:r>
      <w:r>
        <w:fldChar w:fldCharType="end"/>
      </w:r>
      <w:r>
        <w:t>“the 2013 Regulations” means the Social Security (Overpayments and Recovery) Regulations 2013;</w:t>
      </w:r>
    </w:p>
    <w:p w:rsidR="006C2AA0" w:rsidRDefault="006C2AA0" w:rsidP="006C2AA0">
      <w:pPr>
        <w:pStyle w:val="P2"/>
      </w:pPr>
      <w:r>
        <w:fldChar w:fldCharType="begin"/>
      </w:r>
      <w:r>
        <w:instrText xml:space="preserve"> XE "para2:N21AD6:[P2" </w:instrText>
      </w:r>
      <w:r>
        <w:fldChar w:fldCharType="end"/>
      </w:r>
      <w:r>
        <w:t>“notice” means a notice given under section 29 of the 2002 Act (recovery of overpayments of tax credits);</w:t>
      </w:r>
    </w:p>
    <w:p w:rsidR="006C2AA0" w:rsidRDefault="006C2AA0" w:rsidP="006C2AA0">
      <w:pPr>
        <w:pStyle w:val="P2"/>
      </w:pPr>
      <w:r>
        <w:fldChar w:fldCharType="begin"/>
      </w:r>
      <w:r>
        <w:instrText xml:space="preserve"> XE "para2:N21ADA:[P2" </w:instrText>
      </w:r>
      <w:r>
        <w:fldChar w:fldCharType="end"/>
      </w:r>
      <w:r>
        <w:t>“penalty” means a penalty imposed under section 31 (incorrect statements etc) or 32 (failure to comply with requirements) of the 2002 Act.</w:t>
      </w:r>
    </w:p>
    <w:p w:rsidR="006C2AA0" w:rsidRDefault="006C2AA0" w:rsidP="006C2AA0">
      <w:pPr>
        <w:pStyle w:val="P1"/>
      </w:pPr>
      <w:r>
        <w:fldChar w:fldCharType="begin"/>
      </w:r>
      <w:r>
        <w:instrText xml:space="preserve"> XE "para1:N21ADE:[P1" </w:instrText>
      </w:r>
      <w:r>
        <w:fldChar w:fldCharType="end"/>
      </w:r>
      <w:r>
        <w:t>(2)</w:t>
      </w:r>
      <w:r>
        <w:tab/>
        <w:t>Any interest carried under section 37 of the 2002 Act on an amount specified in a notice or on a penalty is to be regarded for the purpose of this Order as if it were specified in the notice or formed part of the penalty respectively.</w:t>
      </w:r>
    </w:p>
    <w:p w:rsidR="006C2AA0" w:rsidRDefault="006C2AA0" w:rsidP="006C2AA0">
      <w:pPr>
        <w:pStyle w:val="PHDR"/>
      </w:pPr>
      <w:r>
        <w:fldChar w:fldCharType="begin"/>
      </w:r>
      <w:r>
        <w:instrText xml:space="preserve"> XE "provision:N21AE4:[PHDR" </w:instrText>
      </w:r>
      <w:r>
        <w:fldChar w:fldCharType="end"/>
      </w:r>
      <w:r>
        <w:t>3</w:t>
      </w:r>
      <w:r>
        <w:tab/>
        <w:t>Functions exercisable by the Secretary of State</w:t>
      </w:r>
    </w:p>
    <w:p w:rsidR="006C2AA0" w:rsidRDefault="006C2AA0" w:rsidP="006C2AA0">
      <w:pPr>
        <w:pStyle w:val="P1"/>
      </w:pPr>
      <w:r>
        <w:fldChar w:fldCharType="begin"/>
      </w:r>
      <w:r>
        <w:instrText xml:space="preserve"> XE "para1:N21B1A:[P1" </w:instrText>
      </w:r>
      <w:r>
        <w:fldChar w:fldCharType="end"/>
      </w:r>
      <w:r>
        <w:t>(1)</w:t>
      </w:r>
      <w:r>
        <w:tab/>
        <w:t>The functions of the Commissioners under section 2 of the 2002 Act specified in paragraph (2) are to be exercisable concurrently with the Secretary of State.</w:t>
      </w:r>
    </w:p>
    <w:p w:rsidR="006C2AA0" w:rsidRDefault="006C2AA0" w:rsidP="006C2AA0">
      <w:pPr>
        <w:pStyle w:val="P1"/>
      </w:pPr>
      <w:r>
        <w:fldChar w:fldCharType="begin"/>
      </w:r>
      <w:r>
        <w:instrText xml:space="preserve"> XE "para1:N21B20:[P1" </w:instrText>
      </w:r>
      <w:r>
        <w:fldChar w:fldCharType="end"/>
      </w:r>
      <w:r>
        <w:t>(2)</w:t>
      </w:r>
      <w:r>
        <w:tab/>
        <w:t>The functions are those that relate to—</w:t>
      </w:r>
    </w:p>
    <w:p w:rsidR="006C2AA0" w:rsidRDefault="006C2AA0" w:rsidP="006C2AA0">
      <w:pPr>
        <w:pStyle w:val="P2"/>
      </w:pPr>
      <w:r>
        <w:fldChar w:fldCharType="begin"/>
      </w:r>
      <w:r>
        <w:instrText xml:space="preserve"> XE "para2:N21B26:[P2"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  <w:t>the recovery from a person to whom a notice has been given of the amount specified in a notice;</w:t>
      </w:r>
    </w:p>
    <w:p w:rsidR="006C2AA0" w:rsidRDefault="006C2AA0" w:rsidP="006C2AA0">
      <w:pPr>
        <w:pStyle w:val="P2"/>
      </w:pPr>
      <w:r>
        <w:fldChar w:fldCharType="begin"/>
      </w:r>
      <w:r>
        <w:instrText xml:space="preserve"> XE "para2:N21B30:[P2"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  <w:t xml:space="preserve">the recovery from a person on whom a penalty has been imposed of the amount of the </w:t>
      </w:r>
      <w:r>
        <w:lastRenderedPageBreak/>
        <w:t>penalty.</w:t>
      </w:r>
    </w:p>
    <w:p w:rsidR="006C2AA0" w:rsidRDefault="006C2AA0" w:rsidP="006C2AA0">
      <w:pPr>
        <w:pStyle w:val="PHDR"/>
      </w:pPr>
      <w:r>
        <w:fldChar w:fldCharType="begin"/>
      </w:r>
      <w:r>
        <w:instrText xml:space="preserve"> XE "provision:N21B3A:[PHDR" </w:instrText>
      </w:r>
      <w:r>
        <w:fldChar w:fldCharType="end"/>
      </w:r>
      <w:r>
        <w:t>4</w:t>
      </w:r>
      <w:r>
        <w:tab/>
        <w:t>Application of the Administration Act</w:t>
      </w:r>
    </w:p>
    <w:p w:rsidR="006C2AA0" w:rsidRDefault="006C2AA0" w:rsidP="006C2AA0">
      <w:pPr>
        <w:pStyle w:val="P1"/>
      </w:pPr>
      <w:r>
        <w:fldChar w:fldCharType="begin"/>
      </w:r>
      <w:r>
        <w:instrText xml:space="preserve"> XE "para1:N21B70:[P1" </w:instrText>
      </w:r>
      <w:r>
        <w:fldChar w:fldCharType="end"/>
      </w:r>
      <w:r>
        <w:t>(1)</w:t>
      </w:r>
      <w:r>
        <w:tab/>
        <w:t>Subject to paragraph (2), the amount specified in a notice or</w:t>
      </w:r>
      <w:proofErr w:type="gramStart"/>
      <w:r>
        <w:t>, as the case may be, the</w:t>
      </w:r>
      <w:proofErr w:type="gramEnd"/>
      <w:r>
        <w:t xml:space="preserve"> amount of a penalty is, for the purposes of the Administration Act, to be treated as if it were an amount recoverable under section 71ZB of that Act.</w:t>
      </w:r>
    </w:p>
    <w:p w:rsidR="006C2AA0" w:rsidRDefault="006C2AA0" w:rsidP="006C2AA0">
      <w:pPr>
        <w:pStyle w:val="P1"/>
      </w:pPr>
      <w:r>
        <w:fldChar w:fldCharType="begin"/>
      </w:r>
      <w:r>
        <w:instrText xml:space="preserve"> XE "para1:N21B76:[P1" </w:instrText>
      </w:r>
      <w:r>
        <w:fldChar w:fldCharType="end"/>
      </w:r>
      <w:r>
        <w:t>(2)</w:t>
      </w:r>
      <w:r>
        <w:tab/>
        <w:t>Section 71ZB of the Administration Act has effect in relation to the amount specified in a notice or</w:t>
      </w:r>
      <w:proofErr w:type="gramStart"/>
      <w:r>
        <w:t>, as the case may be, the</w:t>
      </w:r>
      <w:proofErr w:type="gramEnd"/>
      <w:r>
        <w:t xml:space="preserve"> amount of a penalty, as if subsection (3) were omitted.</w:t>
      </w:r>
    </w:p>
    <w:p w:rsidR="006C2AA0" w:rsidRDefault="006C2AA0" w:rsidP="006C2AA0">
      <w:pPr>
        <w:pStyle w:val="PHDR"/>
      </w:pPr>
      <w:r>
        <w:fldChar w:fldCharType="begin"/>
      </w:r>
      <w:r>
        <w:instrText xml:space="preserve"> XE "provision:N21B7C:[PHDR" </w:instrText>
      </w:r>
      <w:r>
        <w:fldChar w:fldCharType="end"/>
      </w:r>
      <w:r>
        <w:t>5</w:t>
      </w:r>
      <w:r>
        <w:tab/>
        <w:t>Application of the 2013 Regulations</w:t>
      </w:r>
    </w:p>
    <w:p w:rsidR="006C2AA0" w:rsidRDefault="006C2AA0" w:rsidP="006C2AA0">
      <w:pPr>
        <w:pStyle w:val="P1"/>
      </w:pPr>
      <w:r>
        <w:fldChar w:fldCharType="begin"/>
      </w:r>
      <w:r>
        <w:instrText xml:space="preserve"> XE "para1:N21BB2:[P1" </w:instrText>
      </w:r>
      <w:r>
        <w:fldChar w:fldCharType="end"/>
      </w:r>
      <w:r>
        <w:t>(1)</w:t>
      </w:r>
      <w:r>
        <w:tab/>
        <w:t>The amount specified in a notice is, for the purposes of the 2013 Regulations, to be treated as if it were an overpayment as defined in regulation 2 of those Regulations.</w:t>
      </w:r>
    </w:p>
    <w:p w:rsidR="006C2AA0" w:rsidRDefault="006C2AA0" w:rsidP="006C2AA0">
      <w:pPr>
        <w:pStyle w:val="P1"/>
      </w:pPr>
      <w:r>
        <w:fldChar w:fldCharType="begin"/>
      </w:r>
      <w:r>
        <w:instrText xml:space="preserve"> XE "para1:N21BB8:[P1" </w:instrText>
      </w:r>
      <w:r>
        <w:fldChar w:fldCharType="end"/>
      </w:r>
      <w:r>
        <w:t>(2)</w:t>
      </w:r>
      <w:r>
        <w:tab/>
        <w:t>The amount of a penalty is, for the purposes of the 2013 Regulations, to be treated as if it were an amount recoverable under a provision of the Administration Act specified in regulation 3(2) of those Regulations.</w:t>
      </w:r>
    </w:p>
    <w:p w:rsidR="006C2AA0" w:rsidRDefault="006C2AA0" w:rsidP="006C2AA0">
      <w:pPr>
        <w:pStyle w:val="PHDR"/>
      </w:pPr>
      <w:r>
        <w:fldChar w:fldCharType="begin"/>
      </w:r>
      <w:r>
        <w:instrText xml:space="preserve"> XE "provision:N21BBE:[PHDR" </w:instrText>
      </w:r>
      <w:r>
        <w:fldChar w:fldCharType="end"/>
      </w:r>
      <w:r>
        <w:t>6</w:t>
      </w:r>
      <w:r>
        <w:tab/>
        <w:t>Amendment of the 2013 Regulations</w:t>
      </w:r>
    </w:p>
    <w:p w:rsidR="006C2AA0" w:rsidRDefault="006C2AA0" w:rsidP="006C2AA0">
      <w:pPr>
        <w:pStyle w:val="P1"/>
      </w:pPr>
      <w:r>
        <w:fldChar w:fldCharType="begin"/>
      </w:r>
      <w:r>
        <w:instrText xml:space="preserve"> XE "para1:N21BF4:[P1" </w:instrText>
      </w:r>
      <w:r>
        <w:fldChar w:fldCharType="end"/>
      </w:r>
      <w:r>
        <w:t>In the definition of “overpayment” in regulation 2 of the 2013 Regulations (interpretation) omit paragraph (</w:t>
      </w:r>
      <w:r>
        <w:rPr>
          <w:i/>
          <w:iCs/>
        </w:rPr>
        <w:t>b</w:t>
      </w:r>
      <w:r>
        <w:t>).</w:t>
      </w:r>
    </w:p>
    <w:p w:rsidR="000B18E1" w:rsidRDefault="006C2AA0">
      <w:bookmarkStart w:id="0" w:name="_GoBack"/>
      <w:bookmarkEnd w:id="0"/>
    </w:p>
    <w:sectPr w:rsidR="000B1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E2"/>
    <w:rsid w:val="00040EF8"/>
    <w:rsid w:val="000A66F3"/>
    <w:rsid w:val="000C023E"/>
    <w:rsid w:val="001667B3"/>
    <w:rsid w:val="00210152"/>
    <w:rsid w:val="002F4F42"/>
    <w:rsid w:val="003265E2"/>
    <w:rsid w:val="00392572"/>
    <w:rsid w:val="003D35B3"/>
    <w:rsid w:val="0062369A"/>
    <w:rsid w:val="0066119B"/>
    <w:rsid w:val="006C2AA0"/>
    <w:rsid w:val="007060EA"/>
    <w:rsid w:val="00926371"/>
    <w:rsid w:val="009513ED"/>
    <w:rsid w:val="009643EA"/>
    <w:rsid w:val="00AC0F91"/>
    <w:rsid w:val="00D22182"/>
    <w:rsid w:val="00DC2D8C"/>
    <w:rsid w:val="00EB1DA3"/>
    <w:rsid w:val="00EB60E6"/>
    <w:rsid w:val="00F1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67350"/>
  <w15:chartTrackingRefBased/>
  <w15:docId w15:val="{6EFB0393-3AA8-4A72-9281-C6B52A6A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L">
    <w:name w:val="[TTL"/>
    <w:basedOn w:val="Normal"/>
    <w:uiPriority w:val="99"/>
    <w:rsid w:val="006C2AA0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en-GB"/>
    </w:rPr>
  </w:style>
  <w:style w:type="paragraph" w:customStyle="1" w:styleId="SNUM">
    <w:name w:val="[SNUM"/>
    <w:basedOn w:val="Normal"/>
    <w:uiPriority w:val="99"/>
    <w:rsid w:val="006C2AA0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LAID">
    <w:name w:val="[LAID"/>
    <w:basedOn w:val="Normal"/>
    <w:uiPriority w:val="99"/>
    <w:rsid w:val="006C2AA0"/>
    <w:pPr>
      <w:widowControl w:val="0"/>
      <w:autoSpaceDE w:val="0"/>
      <w:autoSpaceDN w:val="0"/>
      <w:adjustRightInd w:val="0"/>
      <w:spacing w:before="100" w:after="0" w:line="240" w:lineRule="auto"/>
      <w:ind w:left="1620" w:hanging="180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OPER">
    <w:name w:val="[OPER"/>
    <w:basedOn w:val="Normal"/>
    <w:uiPriority w:val="99"/>
    <w:rsid w:val="006C2AA0"/>
    <w:pPr>
      <w:widowControl w:val="0"/>
      <w:autoSpaceDE w:val="0"/>
      <w:autoSpaceDN w:val="0"/>
      <w:adjustRightInd w:val="0"/>
      <w:spacing w:before="100" w:after="0" w:line="240" w:lineRule="auto"/>
      <w:ind w:left="1620" w:hanging="180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MADE">
    <w:name w:val="[MADE"/>
    <w:basedOn w:val="Normal"/>
    <w:uiPriority w:val="99"/>
    <w:rsid w:val="006C2AA0"/>
    <w:pPr>
      <w:widowControl w:val="0"/>
      <w:autoSpaceDE w:val="0"/>
      <w:autoSpaceDN w:val="0"/>
      <w:adjustRightInd w:val="0"/>
      <w:spacing w:before="240" w:after="0" w:line="240" w:lineRule="auto"/>
      <w:ind w:left="1620" w:hanging="180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ENAR">
    <w:name w:val="[ENAR"/>
    <w:basedOn w:val="Normal"/>
    <w:uiPriority w:val="99"/>
    <w:rsid w:val="006C2AA0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PREA">
    <w:name w:val="[PREA"/>
    <w:basedOn w:val="Normal"/>
    <w:uiPriority w:val="99"/>
    <w:rsid w:val="006C2AA0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MAIN">
    <w:name w:val="[MAIN"/>
    <w:basedOn w:val="Normal"/>
    <w:uiPriority w:val="99"/>
    <w:rsid w:val="006C2AA0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PHDR">
    <w:name w:val="[PHDR"/>
    <w:basedOn w:val="Normal"/>
    <w:uiPriority w:val="99"/>
    <w:rsid w:val="006C2AA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P1">
    <w:name w:val="[P1"/>
    <w:basedOn w:val="Normal"/>
    <w:uiPriority w:val="99"/>
    <w:rsid w:val="006C2AA0"/>
    <w:pPr>
      <w:widowControl w:val="0"/>
      <w:tabs>
        <w:tab w:val="left" w:pos="567"/>
      </w:tabs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P2">
    <w:name w:val="[P2"/>
    <w:basedOn w:val="Normal"/>
    <w:uiPriority w:val="99"/>
    <w:rsid w:val="006C2AA0"/>
    <w:pPr>
      <w:widowControl w:val="0"/>
      <w:tabs>
        <w:tab w:val="left" w:pos="1134"/>
      </w:tabs>
      <w:autoSpaceDE w:val="0"/>
      <w:autoSpaceDN w:val="0"/>
      <w:adjustRightInd w:val="0"/>
      <w:spacing w:before="200" w:after="0" w:line="240" w:lineRule="auto"/>
      <w:ind w:left="1134" w:hanging="567"/>
    </w:pPr>
    <w:rPr>
      <w:rFonts w:ascii="Arial" w:eastAsia="Times New Roman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Mach</dc:creator>
  <cp:keywords/>
  <dc:description/>
  <cp:lastModifiedBy>Shawn Mach</cp:lastModifiedBy>
  <cp:revision>2</cp:revision>
  <dcterms:created xsi:type="dcterms:W3CDTF">2020-03-04T15:36:00Z</dcterms:created>
  <dcterms:modified xsi:type="dcterms:W3CDTF">2020-03-04T15:36:00Z</dcterms:modified>
</cp:coreProperties>
</file>